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E3" w:rsidRPr="00D642CB" w:rsidRDefault="00A64F1C" w:rsidP="007C6F71">
      <w:pPr>
        <w:jc w:val="center"/>
        <w:rPr>
          <w:b/>
          <w:sz w:val="18"/>
          <w:szCs w:val="18"/>
        </w:rPr>
      </w:pPr>
      <w:r w:rsidRPr="00D642CB">
        <w:rPr>
          <w:b/>
          <w:sz w:val="18"/>
          <w:szCs w:val="18"/>
        </w:rPr>
        <w:t>Documents de référence</w:t>
      </w:r>
    </w:p>
    <w:p w:rsidR="00D642CB" w:rsidRDefault="00D642CB" w:rsidP="00D642CB">
      <w:pPr>
        <w:rPr>
          <w:sz w:val="20"/>
          <w:szCs w:val="20"/>
          <w:lang w:val="fr-FR"/>
        </w:rPr>
      </w:pPr>
    </w:p>
    <w:tbl>
      <w:tblPr>
        <w:tblW w:w="4950" w:type="pct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4592"/>
      </w:tblGrid>
      <w:tr w:rsidR="00D642CB" w:rsidTr="00D642CB">
        <w:trPr>
          <w:trHeight w:val="769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B" w:rsidRDefault="00D642CB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noProof/>
                <w:sz w:val="15"/>
                <w:szCs w:val="15"/>
                <w:lang w:eastAsia="fr-BE"/>
              </w:rPr>
              <w:drawing>
                <wp:inline distT="0" distB="0" distL="0" distR="0">
                  <wp:extent cx="1182370" cy="59880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2CB" w:rsidRDefault="00D642CB">
            <w:pPr>
              <w:jc w:val="center"/>
              <w:rPr>
                <w:rFonts w:ascii="Arial" w:hAnsi="Arial" w:cs="Arial"/>
                <w:b/>
                <w:bCs/>
                <w:iCs/>
                <w:color w:val="333399"/>
                <w:sz w:val="12"/>
                <w:szCs w:val="12"/>
              </w:rPr>
            </w:pPr>
            <w:smartTag w:uri="urn:schemas-microsoft-com:office:smarttags" w:element="PersonName">
              <w:smartTagPr>
                <w:attr w:name="ProductID" w:val="Cercle universitaire"/>
              </w:smartTagPr>
              <w:r>
                <w:rPr>
                  <w:rFonts w:ascii="Arial" w:hAnsi="Arial" w:cs="Arial"/>
                  <w:b/>
                  <w:bCs/>
                  <w:iCs/>
                  <w:color w:val="333399"/>
                  <w:sz w:val="12"/>
                  <w:szCs w:val="12"/>
                </w:rPr>
                <w:t>Cercle universitaire</w:t>
              </w:r>
            </w:smartTag>
          </w:p>
          <w:p w:rsidR="00D642CB" w:rsidRDefault="00D642CB">
            <w:pPr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Cs/>
                <w:color w:val="333399"/>
                <w:sz w:val="12"/>
                <w:szCs w:val="12"/>
              </w:rPr>
              <w:t>L’Union des étudiants catholiques de Liège, a.s.b.l.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B" w:rsidRDefault="00D642CB">
            <w:pPr>
              <w:rPr>
                <w:b/>
                <w:bCs/>
                <w:smallCaps/>
                <w:sz w:val="12"/>
                <w:szCs w:val="12"/>
              </w:rPr>
            </w:pPr>
          </w:p>
          <w:p w:rsidR="00D642CB" w:rsidRDefault="00D642CB">
            <w:pPr>
              <w:jc w:val="center"/>
              <w:rPr>
                <w:b/>
                <w:bCs/>
                <w:smallCaps/>
                <w:sz w:val="19"/>
                <w:szCs w:val="19"/>
              </w:rPr>
            </w:pPr>
            <w:r>
              <w:rPr>
                <w:b/>
                <w:bCs/>
                <w:smallCaps/>
                <w:noProof/>
                <w:sz w:val="19"/>
                <w:szCs w:val="19"/>
                <w:lang w:eastAsia="fr-BE"/>
              </w:rPr>
              <w:drawing>
                <wp:inline distT="0" distB="0" distL="0" distR="0">
                  <wp:extent cx="1718310" cy="551815"/>
                  <wp:effectExtent l="0" t="0" r="0" b="63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2CB" w:rsidRDefault="00D642CB">
            <w:pPr>
              <w:jc w:val="center"/>
              <w:rPr>
                <w:b/>
                <w:bCs/>
                <w:smallCaps/>
                <w:sz w:val="12"/>
                <w:szCs w:val="12"/>
              </w:rPr>
            </w:pPr>
          </w:p>
          <w:p w:rsidR="00D642CB" w:rsidRDefault="00D642CB">
            <w:pPr>
              <w:jc w:val="center"/>
              <w:rPr>
                <w:sz w:val="12"/>
                <w:szCs w:val="12"/>
              </w:rPr>
            </w:pPr>
            <w:r>
              <w:rPr>
                <w:rFonts w:ascii="Arial Rounded MT Bold" w:hAnsi="Arial Rounded MT Bold"/>
                <w:b/>
                <w:bCs/>
                <w:i/>
                <w:iCs/>
                <w:smallCaps/>
                <w:color w:val="000080"/>
                <w:spacing w:val="20"/>
                <w:sz w:val="12"/>
                <w:szCs w:val="12"/>
              </w:rPr>
              <w:t>Groupe de réflexion</w:t>
            </w:r>
            <w:r>
              <w:rPr>
                <w:rFonts w:ascii="Arial Rounded MT Bold" w:hAnsi="Arial Rounded MT Bold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i/>
                <w:iCs/>
                <w:smallCaps/>
                <w:color w:val="000080"/>
                <w:spacing w:val="20"/>
                <w:sz w:val="12"/>
                <w:szCs w:val="12"/>
              </w:rPr>
              <w:t>sur l’éthique sociale</w:t>
            </w:r>
          </w:p>
        </w:tc>
      </w:tr>
    </w:tbl>
    <w:p w:rsidR="00D642CB" w:rsidRDefault="00D642CB" w:rsidP="00D642CB">
      <w:pPr>
        <w:rPr>
          <w:vanish/>
          <w:sz w:val="20"/>
          <w:szCs w:val="20"/>
          <w:lang w:val="fr-F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70"/>
      </w:tblGrid>
      <w:tr w:rsidR="00D642CB" w:rsidTr="00D642CB">
        <w:tc>
          <w:tcPr>
            <w:tcW w:w="10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42CB" w:rsidRDefault="00D642CB">
            <w:pPr>
              <w:jc w:val="center"/>
              <w:rPr>
                <w:b/>
                <w:i/>
                <w:iCs/>
                <w:caps/>
                <w:szCs w:val="52"/>
                <w:u w:val="single"/>
              </w:rPr>
            </w:pPr>
            <w:r>
              <w:rPr>
                <w:b/>
                <w:i/>
                <w:iCs/>
                <w:color w:val="333399"/>
              </w:rPr>
              <w:t>Ce cycle est organisé avec le concours du forum de conférences « Calpurnia »</w:t>
            </w:r>
          </w:p>
        </w:tc>
      </w:tr>
    </w:tbl>
    <w:p w:rsidR="00D642CB" w:rsidRDefault="00D642CB" w:rsidP="00D6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  <w:jc w:val="center"/>
        <w:rPr>
          <w:sz w:val="20"/>
          <w:szCs w:val="20"/>
          <w:lang w:val="fr-FR"/>
        </w:rPr>
      </w:pPr>
      <w:r>
        <w:rPr>
          <w:b/>
          <w:iCs/>
          <w:caps/>
          <w:sz w:val="28"/>
          <w:szCs w:val="52"/>
          <w:u w:val="single"/>
        </w:rPr>
        <w:t>Neutralité ou Pluralisme</w:t>
      </w:r>
      <w:r>
        <w:rPr>
          <w:b/>
          <w:iCs/>
          <w:caps/>
          <w:sz w:val="28"/>
          <w:szCs w:val="52"/>
          <w:u w:val="single"/>
        </w:rPr>
        <w:br/>
      </w:r>
      <w:r>
        <w:t>Dialogue entre Religions et Philosophies non confessionnelles</w:t>
      </w:r>
    </w:p>
    <w:p w:rsidR="00D642CB" w:rsidRDefault="00D642CB" w:rsidP="00D6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42CB" w:rsidRDefault="00D642CB" w:rsidP="00D6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Cs w:val="12"/>
        </w:rPr>
      </w:pPr>
    </w:p>
    <w:p w:rsidR="00D642CB" w:rsidRDefault="00D642CB" w:rsidP="00D6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Mercredi 20.06.2012</w:t>
      </w:r>
    </w:p>
    <w:p w:rsidR="00D642CB" w:rsidRDefault="00D642CB" w:rsidP="00D6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rPr>
          <w:rFonts w:ascii="Arial" w:hAnsi="Arial" w:cs="Arial"/>
          <w:b/>
          <w:bCs/>
          <w:sz w:val="18"/>
          <w:szCs w:val="18"/>
        </w:rPr>
      </w:pPr>
    </w:p>
    <w:p w:rsidR="00D642CB" w:rsidRDefault="00D642CB" w:rsidP="00D6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sz w:val="52"/>
          <w:szCs w:val="20"/>
        </w:rPr>
      </w:pPr>
      <w:r>
        <w:rPr>
          <w:b/>
          <w:sz w:val="52"/>
        </w:rPr>
        <w:t>La religion en Droit comparé à l’aube du XXe siècle</w:t>
      </w:r>
    </w:p>
    <w:p w:rsidR="00D642CB" w:rsidRDefault="00D642CB" w:rsidP="00D6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</w:t>
      </w:r>
    </w:p>
    <w:p w:rsidR="00D642CB" w:rsidRDefault="00D642CB" w:rsidP="00D6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Louis-Léon CHRISTIANS</w:t>
      </w:r>
    </w:p>
    <w:p w:rsidR="00D642CB" w:rsidRDefault="00D642CB" w:rsidP="00D6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spacing w:before="120" w:after="120"/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</w:rPr>
        <w:t>Professeur de Droit des religions à la Faculté de Théologie de l’Université Catholique de Louvain (UCL), Vice-Président de l’l’Institut de recherche Religions, Spiritualités, Cultures, Sociétés.</w:t>
      </w:r>
    </w:p>
    <w:p w:rsidR="00D642CB" w:rsidRDefault="00D642CB" w:rsidP="00D6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22757" w:rsidRDefault="00B22757" w:rsidP="006C6FC8">
      <w:pPr>
        <w:pStyle w:val="Titre1"/>
        <w:spacing w:before="840"/>
        <w:ind w:left="1639"/>
        <w:rPr>
          <w:rFonts w:ascii="Verdana" w:hAnsi="Verdana"/>
          <w:color w:val="525A66"/>
          <w:sz w:val="27"/>
          <w:szCs w:val="27"/>
        </w:rPr>
      </w:pPr>
      <w:r>
        <w:rPr>
          <w:rFonts w:ascii="Verdana" w:hAnsi="Verdana"/>
          <w:color w:val="525A66"/>
          <w:sz w:val="27"/>
          <w:szCs w:val="27"/>
        </w:rPr>
        <w:t>Louis-Léon Christians</w:t>
      </w:r>
    </w:p>
    <w:p w:rsidR="00B22757" w:rsidRPr="00242D6D" w:rsidRDefault="00B22757">
      <w:pPr>
        <w:ind w:left="1637"/>
        <w:rPr>
          <w:rStyle w:val="titre31"/>
          <w:sz w:val="22"/>
          <w:szCs w:val="22"/>
        </w:rPr>
      </w:pPr>
      <w:r>
        <w:rPr>
          <w:rStyle w:val="titre31"/>
          <w:rFonts w:ascii="Verdana" w:hAnsi="Verdana"/>
          <w:color w:val="525A66"/>
          <w:sz w:val="22"/>
          <w:szCs w:val="22"/>
        </w:rPr>
        <w:t xml:space="preserve">Professeur titulaire </w:t>
      </w:r>
      <w:r w:rsidRPr="00242D6D">
        <w:rPr>
          <w:rStyle w:val="titre31"/>
          <w:rFonts w:ascii="Verdana" w:hAnsi="Verdana"/>
          <w:color w:val="525A66"/>
          <w:sz w:val="22"/>
          <w:szCs w:val="22"/>
        </w:rPr>
        <w:t>de la Chaire de droit des religions</w:t>
      </w:r>
      <w:r w:rsidRPr="00242D6D">
        <w:rPr>
          <w:rStyle w:val="titre31"/>
          <w:sz w:val="22"/>
          <w:szCs w:val="22"/>
        </w:rPr>
        <w:t xml:space="preserve"> </w:t>
      </w:r>
    </w:p>
    <w:p w:rsidR="00B22757" w:rsidRDefault="00B22757">
      <w:pPr>
        <w:pStyle w:val="NormalWeb"/>
        <w:ind w:left="1637"/>
        <w:rPr>
          <w:rFonts w:ascii="Verdana" w:hAnsi="Verdana"/>
          <w:color w:val="525A66"/>
          <w:sz w:val="17"/>
          <w:szCs w:val="17"/>
        </w:rPr>
      </w:pPr>
      <w:r w:rsidRPr="00242D6D">
        <w:rPr>
          <w:rStyle w:val="titre31"/>
          <w:sz w:val="22"/>
          <w:szCs w:val="22"/>
          <w:lang w:val="fr-BE"/>
        </w:rPr>
        <w:t> </w:t>
      </w:r>
      <w:r>
        <w:rPr>
          <w:rStyle w:val="lev"/>
          <w:rFonts w:ascii="Verdana" w:hAnsi="Verdana"/>
          <w:color w:val="525A66"/>
          <w:sz w:val="17"/>
          <w:szCs w:val="17"/>
        </w:rPr>
        <w:t>Autres fonctions</w:t>
      </w:r>
    </w:p>
    <w:p w:rsidR="00B22757" w:rsidRPr="00AF325A" w:rsidRDefault="00B22757">
      <w:pPr>
        <w:pStyle w:val="NormalWeb"/>
        <w:ind w:left="1637"/>
        <w:rPr>
          <w:rFonts w:ascii="Verdana" w:hAnsi="Verdana"/>
          <w:sz w:val="22"/>
          <w:szCs w:val="22"/>
        </w:rPr>
      </w:pPr>
      <w:r w:rsidRPr="00AF325A">
        <w:rPr>
          <w:rStyle w:val="Normal1"/>
          <w:rFonts w:ascii="Verdana" w:hAnsi="Verdana"/>
          <w:sz w:val="22"/>
          <w:szCs w:val="22"/>
        </w:rPr>
        <w:t>Vice-président de l'</w:t>
      </w:r>
      <w:hyperlink r:id="rId7" w:tgtFrame="_self" w:history="1">
        <w:r w:rsidRPr="00AF325A">
          <w:rPr>
            <w:rStyle w:val="Lienhypertexte"/>
            <w:rFonts w:ascii="Verdana" w:hAnsi="Verdana"/>
            <w:color w:val="auto"/>
            <w:sz w:val="22"/>
            <w:szCs w:val="22"/>
          </w:rPr>
          <w:t>Institut de recherche Religions, Spiritualités, Cultures, Sociétés</w:t>
        </w:r>
      </w:hyperlink>
      <w:r w:rsidRPr="00AF325A">
        <w:rPr>
          <w:rFonts w:ascii="Verdana" w:hAnsi="Verdana"/>
          <w:sz w:val="22"/>
          <w:szCs w:val="22"/>
        </w:rPr>
        <w:br/>
      </w:r>
      <w:r w:rsidRPr="00AF325A">
        <w:rPr>
          <w:rFonts w:ascii="Verdana" w:hAnsi="Verdana"/>
          <w:sz w:val="22"/>
          <w:szCs w:val="22"/>
        </w:rPr>
        <w:br/>
      </w:r>
      <w:r w:rsidRPr="00AF325A">
        <w:rPr>
          <w:rStyle w:val="Normal1"/>
          <w:rFonts w:ascii="Verdana" w:hAnsi="Verdana"/>
          <w:sz w:val="22"/>
          <w:szCs w:val="22"/>
        </w:rPr>
        <w:t>Responsable de la filière "Droit &amp; Religions" </w:t>
      </w:r>
      <w:r w:rsidRPr="00AF325A">
        <w:rPr>
          <w:rFonts w:ascii="Verdana" w:hAnsi="Verdana"/>
          <w:sz w:val="22"/>
          <w:szCs w:val="22"/>
        </w:rPr>
        <w:br/>
      </w:r>
      <w:r w:rsidRPr="00AF325A">
        <w:rPr>
          <w:rStyle w:val="Normal1"/>
          <w:rFonts w:ascii="Verdana" w:hAnsi="Verdana"/>
          <w:sz w:val="22"/>
          <w:szCs w:val="22"/>
        </w:rPr>
        <w:t xml:space="preserve">et Responsable du </w:t>
      </w:r>
      <w:hyperlink r:id="rId8" w:history="1">
        <w:r w:rsidRPr="00AF325A">
          <w:rPr>
            <w:rStyle w:val="Lienhypertexte"/>
            <w:rFonts w:ascii="Verdana" w:hAnsi="Verdana"/>
            <w:color w:val="auto"/>
            <w:sz w:val="22"/>
            <w:szCs w:val="22"/>
          </w:rPr>
          <w:t>Master pluridisciplinaire en sciences des religions</w:t>
        </w:r>
      </w:hyperlink>
    </w:p>
    <w:p w:rsidR="00B22757" w:rsidRPr="00AF325A" w:rsidRDefault="00B22757">
      <w:pPr>
        <w:pStyle w:val="NormalWeb"/>
        <w:ind w:left="1637"/>
        <w:rPr>
          <w:rStyle w:val="Normal1"/>
          <w:sz w:val="22"/>
          <w:szCs w:val="22"/>
        </w:rPr>
      </w:pPr>
      <w:r w:rsidRPr="00AF325A">
        <w:rPr>
          <w:rStyle w:val="Normal1"/>
          <w:rFonts w:ascii="Verdana" w:hAnsi="Verdana"/>
          <w:sz w:val="22"/>
          <w:szCs w:val="22"/>
        </w:rPr>
        <w:t xml:space="preserve">Membre du bureau du </w:t>
      </w:r>
      <w:hyperlink r:id="rId9" w:tgtFrame="_self" w:history="1">
        <w:r w:rsidRPr="00AF325A">
          <w:rPr>
            <w:rStyle w:val="Lienhypertexte"/>
            <w:rFonts w:ascii="Verdana" w:hAnsi="Verdana"/>
            <w:color w:val="auto"/>
            <w:sz w:val="22"/>
            <w:szCs w:val="22"/>
          </w:rPr>
          <w:t>Centre interdisciplinaire d'étude de l'islam dans le monde contemporain</w:t>
        </w:r>
      </w:hyperlink>
    </w:p>
    <w:p w:rsidR="00B22757" w:rsidRPr="00AF325A" w:rsidRDefault="00B22757">
      <w:pPr>
        <w:pStyle w:val="NormalWeb"/>
        <w:ind w:left="1637"/>
        <w:rPr>
          <w:sz w:val="22"/>
          <w:szCs w:val="22"/>
        </w:rPr>
      </w:pPr>
      <w:r w:rsidRPr="00AF325A">
        <w:rPr>
          <w:rStyle w:val="Normal1"/>
          <w:rFonts w:ascii="Verdana" w:hAnsi="Verdana"/>
          <w:sz w:val="22"/>
          <w:szCs w:val="22"/>
        </w:rPr>
        <w:t xml:space="preserve">Membre du </w:t>
      </w:r>
      <w:hyperlink r:id="rId10" w:tgtFrame="_self" w:history="1">
        <w:r w:rsidRPr="00AF325A">
          <w:rPr>
            <w:rStyle w:val="Lienhypertexte"/>
            <w:rFonts w:ascii="Verdana" w:hAnsi="Verdana"/>
            <w:color w:val="auto"/>
            <w:sz w:val="22"/>
            <w:szCs w:val="22"/>
          </w:rPr>
          <w:t>Conseil des relations internationales</w:t>
        </w:r>
      </w:hyperlink>
      <w:r w:rsidRPr="00AF325A">
        <w:rPr>
          <w:rStyle w:val="Normal1"/>
          <w:rFonts w:ascii="Verdana" w:hAnsi="Verdana"/>
          <w:sz w:val="22"/>
          <w:szCs w:val="22"/>
        </w:rPr>
        <w:t xml:space="preserve"> de l'UCL (CRI) (suppléant)</w:t>
      </w:r>
    </w:p>
    <w:p w:rsidR="00B22757" w:rsidRDefault="00B22757">
      <w:pPr>
        <w:pStyle w:val="NormalWeb"/>
        <w:ind w:left="1637"/>
        <w:rPr>
          <w:rFonts w:ascii="Verdana" w:hAnsi="Verdana"/>
          <w:color w:val="525A66"/>
          <w:sz w:val="17"/>
          <w:szCs w:val="17"/>
        </w:rPr>
      </w:pPr>
      <w:r>
        <w:rPr>
          <w:rStyle w:val="titre31"/>
          <w:rFonts w:ascii="Verdana" w:hAnsi="Verdana"/>
          <w:color w:val="525A66"/>
        </w:rPr>
        <w:t>Formation universitaire</w:t>
      </w:r>
    </w:p>
    <w:p w:rsidR="00B22757" w:rsidRDefault="00B22757" w:rsidP="00A276D7">
      <w:pPr>
        <w:numPr>
          <w:ilvl w:val="0"/>
          <w:numId w:val="1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7"/>
          <w:szCs w:val="17"/>
        </w:rPr>
      </w:pPr>
      <w:r>
        <w:rPr>
          <w:rFonts w:ascii="Verdana" w:hAnsi="Verdana"/>
          <w:color w:val="525A66"/>
          <w:sz w:val="17"/>
          <w:szCs w:val="17"/>
        </w:rPr>
        <w:t xml:space="preserve">Docteur en droit (Université de Paris XI) </w:t>
      </w:r>
    </w:p>
    <w:p w:rsidR="00B22757" w:rsidRDefault="00B22757" w:rsidP="00A276D7">
      <w:pPr>
        <w:numPr>
          <w:ilvl w:val="0"/>
          <w:numId w:val="1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7"/>
          <w:szCs w:val="17"/>
        </w:rPr>
      </w:pPr>
      <w:r>
        <w:rPr>
          <w:rFonts w:ascii="Verdana" w:hAnsi="Verdana"/>
          <w:color w:val="525A66"/>
          <w:sz w:val="17"/>
          <w:szCs w:val="17"/>
        </w:rPr>
        <w:t xml:space="preserve">Docteur en droit canonique (Institut catholique de Paris) </w:t>
      </w:r>
      <w:bookmarkStart w:id="0" w:name="_GoBack"/>
      <w:bookmarkEnd w:id="0"/>
    </w:p>
    <w:p w:rsidR="00B22757" w:rsidRDefault="00B22757" w:rsidP="00A276D7">
      <w:pPr>
        <w:numPr>
          <w:ilvl w:val="0"/>
          <w:numId w:val="2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7"/>
          <w:szCs w:val="17"/>
        </w:rPr>
      </w:pPr>
      <w:r>
        <w:rPr>
          <w:rFonts w:ascii="Verdana" w:hAnsi="Verdana"/>
          <w:color w:val="525A66"/>
          <w:sz w:val="17"/>
          <w:szCs w:val="17"/>
        </w:rPr>
        <w:lastRenderedPageBreak/>
        <w:t xml:space="preserve">Licencié en droit canonique (U.C.L.) </w:t>
      </w:r>
    </w:p>
    <w:p w:rsidR="00B22757" w:rsidRDefault="00B22757" w:rsidP="00A276D7">
      <w:pPr>
        <w:numPr>
          <w:ilvl w:val="0"/>
          <w:numId w:val="2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7"/>
          <w:szCs w:val="17"/>
        </w:rPr>
      </w:pPr>
      <w:r>
        <w:rPr>
          <w:rFonts w:ascii="Verdana" w:hAnsi="Verdana"/>
          <w:color w:val="525A66"/>
          <w:sz w:val="17"/>
          <w:szCs w:val="17"/>
        </w:rPr>
        <w:t>Licencié en droit (</w:t>
      </w:r>
      <w:smartTag w:uri="urn:schemas-microsoft-com:office:smarttags" w:element="PersonName">
        <w:smartTagPr>
          <w:attr w:name="ProductID" w:val="Université de Liège"/>
        </w:smartTagPr>
        <w:r>
          <w:rPr>
            <w:rFonts w:ascii="Verdana" w:hAnsi="Verdana"/>
            <w:color w:val="525A66"/>
            <w:sz w:val="17"/>
            <w:szCs w:val="17"/>
          </w:rPr>
          <w:t>Université de Liège</w:t>
        </w:r>
      </w:smartTag>
      <w:r>
        <w:rPr>
          <w:rFonts w:ascii="Verdana" w:hAnsi="Verdana"/>
          <w:color w:val="525A66"/>
          <w:sz w:val="17"/>
          <w:szCs w:val="17"/>
        </w:rPr>
        <w:t xml:space="preserve">) </w:t>
      </w:r>
    </w:p>
    <w:p w:rsidR="00B22757" w:rsidRDefault="00B22757">
      <w:pPr>
        <w:pStyle w:val="NormalWeb"/>
        <w:ind w:left="1637"/>
        <w:rPr>
          <w:rFonts w:ascii="Verdana" w:hAnsi="Verdana"/>
          <w:color w:val="525A66"/>
          <w:sz w:val="17"/>
          <w:szCs w:val="17"/>
        </w:rPr>
      </w:pPr>
      <w:r>
        <w:rPr>
          <w:rStyle w:val="titre31"/>
          <w:rFonts w:ascii="Verdana" w:hAnsi="Verdana"/>
          <w:color w:val="525A66"/>
        </w:rPr>
        <w:t>Domaines de recherche</w:t>
      </w:r>
    </w:p>
    <w:p w:rsidR="00B22757" w:rsidRDefault="00B22757" w:rsidP="00A276D7">
      <w:pPr>
        <w:numPr>
          <w:ilvl w:val="0"/>
          <w:numId w:val="3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7"/>
          <w:szCs w:val="17"/>
        </w:rPr>
      </w:pPr>
      <w:r>
        <w:rPr>
          <w:rFonts w:ascii="Verdana" w:hAnsi="Verdana"/>
          <w:color w:val="525A66"/>
          <w:sz w:val="17"/>
          <w:szCs w:val="17"/>
        </w:rPr>
        <w:t xml:space="preserve">Liberté religieuse et autonomie des cultes en droit belge et international </w:t>
      </w:r>
    </w:p>
    <w:p w:rsidR="00B22757" w:rsidRDefault="00B22757" w:rsidP="00A276D7">
      <w:pPr>
        <w:numPr>
          <w:ilvl w:val="0"/>
          <w:numId w:val="3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7"/>
          <w:szCs w:val="17"/>
        </w:rPr>
      </w:pPr>
      <w:r>
        <w:rPr>
          <w:rFonts w:ascii="Verdana" w:hAnsi="Verdana"/>
          <w:color w:val="525A66"/>
          <w:sz w:val="17"/>
          <w:szCs w:val="17"/>
        </w:rPr>
        <w:t xml:space="preserve">Rapports entre droits religieux et droit d’États </w:t>
      </w:r>
    </w:p>
    <w:p w:rsidR="00B22757" w:rsidRDefault="00B22757" w:rsidP="00A276D7">
      <w:pPr>
        <w:numPr>
          <w:ilvl w:val="0"/>
          <w:numId w:val="3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7"/>
          <w:szCs w:val="17"/>
        </w:rPr>
      </w:pPr>
      <w:r>
        <w:rPr>
          <w:rFonts w:ascii="Verdana" w:hAnsi="Verdana"/>
          <w:color w:val="525A66"/>
          <w:sz w:val="17"/>
          <w:szCs w:val="17"/>
        </w:rPr>
        <w:t xml:space="preserve">Droit canonique, droits religieux comparés et droits fondamentaux </w:t>
      </w:r>
    </w:p>
    <w:p w:rsidR="00B22757" w:rsidRDefault="00B22757" w:rsidP="00A276D7">
      <w:pPr>
        <w:numPr>
          <w:ilvl w:val="0"/>
          <w:numId w:val="3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7"/>
          <w:szCs w:val="17"/>
        </w:rPr>
      </w:pPr>
      <w:r>
        <w:rPr>
          <w:rFonts w:ascii="Verdana" w:hAnsi="Verdana"/>
          <w:color w:val="525A66"/>
          <w:sz w:val="17"/>
          <w:szCs w:val="17"/>
        </w:rPr>
        <w:t xml:space="preserve">Droit et sciences des religions </w:t>
      </w:r>
    </w:p>
    <w:p w:rsidR="00B22757" w:rsidRDefault="00B22757">
      <w:pPr>
        <w:pStyle w:val="NormalWeb"/>
        <w:ind w:left="1637"/>
        <w:rPr>
          <w:rFonts w:ascii="Verdana" w:hAnsi="Verdana"/>
          <w:color w:val="525A66"/>
          <w:sz w:val="17"/>
          <w:szCs w:val="17"/>
        </w:rPr>
      </w:pPr>
      <w:r>
        <w:rPr>
          <w:rStyle w:val="titre31"/>
          <w:rFonts w:ascii="Verdana" w:hAnsi="Verdana"/>
          <w:color w:val="525A66"/>
        </w:rPr>
        <w:t>Domaines d'enseignement</w:t>
      </w:r>
    </w:p>
    <w:p w:rsidR="00B22757" w:rsidRDefault="00B22757" w:rsidP="00A276D7">
      <w:pPr>
        <w:numPr>
          <w:ilvl w:val="0"/>
          <w:numId w:val="4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7"/>
          <w:szCs w:val="17"/>
        </w:rPr>
      </w:pPr>
      <w:r>
        <w:rPr>
          <w:rFonts w:ascii="Verdana" w:hAnsi="Verdana"/>
          <w:color w:val="525A66"/>
          <w:sz w:val="17"/>
          <w:szCs w:val="17"/>
        </w:rPr>
        <w:t xml:space="preserve">Droit belge et international des religions </w:t>
      </w:r>
    </w:p>
    <w:p w:rsidR="00B22757" w:rsidRDefault="00B22757" w:rsidP="00A276D7">
      <w:pPr>
        <w:numPr>
          <w:ilvl w:val="0"/>
          <w:numId w:val="4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7"/>
          <w:szCs w:val="17"/>
        </w:rPr>
      </w:pPr>
      <w:r>
        <w:rPr>
          <w:rFonts w:ascii="Verdana" w:hAnsi="Verdana"/>
          <w:color w:val="525A66"/>
          <w:sz w:val="17"/>
          <w:szCs w:val="17"/>
        </w:rPr>
        <w:t xml:space="preserve">Droit canonique </w:t>
      </w:r>
    </w:p>
    <w:p w:rsidR="00B22757" w:rsidRDefault="00B22757" w:rsidP="00A276D7">
      <w:pPr>
        <w:numPr>
          <w:ilvl w:val="0"/>
          <w:numId w:val="4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7"/>
          <w:szCs w:val="17"/>
        </w:rPr>
      </w:pPr>
      <w:r>
        <w:rPr>
          <w:rFonts w:ascii="Verdana" w:hAnsi="Verdana"/>
          <w:color w:val="525A66"/>
          <w:sz w:val="17"/>
          <w:szCs w:val="17"/>
        </w:rPr>
        <w:t xml:space="preserve">Droits religieux comparés </w:t>
      </w:r>
    </w:p>
    <w:p w:rsidR="00B22757" w:rsidRDefault="00B22757">
      <w:pPr>
        <w:pStyle w:val="NormalWeb"/>
        <w:ind w:left="1637"/>
        <w:rPr>
          <w:rFonts w:ascii="Verdana" w:hAnsi="Verdana"/>
          <w:color w:val="525A66"/>
          <w:sz w:val="17"/>
          <w:szCs w:val="17"/>
        </w:rPr>
      </w:pPr>
      <w:r>
        <w:rPr>
          <w:rStyle w:val="titre31"/>
          <w:rFonts w:ascii="Verdana" w:hAnsi="Verdana"/>
          <w:color w:val="525A66"/>
        </w:rPr>
        <w:t>Sociétés et réseaux scientifiques</w:t>
      </w:r>
    </w:p>
    <w:p w:rsidR="00B22757" w:rsidRDefault="00B22757" w:rsidP="00A276D7">
      <w:pPr>
        <w:numPr>
          <w:ilvl w:val="0"/>
          <w:numId w:val="5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7"/>
          <w:szCs w:val="17"/>
        </w:rPr>
      </w:pPr>
      <w:r>
        <w:rPr>
          <w:rFonts w:ascii="Verdana" w:hAnsi="Verdana"/>
          <w:color w:val="525A66"/>
          <w:sz w:val="17"/>
          <w:szCs w:val="17"/>
        </w:rPr>
        <w:t xml:space="preserve">Société internationale de droit canonique et de législations religieuses comparées - </w:t>
      </w:r>
      <w:hyperlink r:id="rId11" w:tgtFrame="_blank" w:history="1">
        <w:r>
          <w:rPr>
            <w:rStyle w:val="Lienhypertexte"/>
            <w:rFonts w:ascii="Verdana" w:hAnsi="Verdana"/>
            <w:sz w:val="17"/>
            <w:szCs w:val="17"/>
          </w:rPr>
          <w:t>SIDC</w:t>
        </w:r>
      </w:hyperlink>
      <w:r>
        <w:rPr>
          <w:rFonts w:ascii="Verdana" w:hAnsi="Verdana"/>
          <w:color w:val="525A66"/>
          <w:sz w:val="17"/>
          <w:szCs w:val="17"/>
        </w:rPr>
        <w:t> (Paris) (1989</w:t>
      </w:r>
      <w:r w:rsidR="008D478F">
        <w:rPr>
          <w:rFonts w:ascii="Verdana" w:hAnsi="Verdana"/>
          <w:color w:val="525A66"/>
          <w:sz w:val="17"/>
          <w:szCs w:val="17"/>
        </w:rPr>
        <w:t>- )</w:t>
      </w:r>
      <w:r>
        <w:rPr>
          <w:rFonts w:ascii="Verdana" w:hAnsi="Verdana"/>
          <w:color w:val="525A66"/>
          <w:sz w:val="17"/>
          <w:szCs w:val="17"/>
        </w:rPr>
        <w:t xml:space="preserve"> </w:t>
      </w:r>
    </w:p>
    <w:p w:rsidR="00B22757" w:rsidRDefault="00B22757" w:rsidP="00A276D7">
      <w:pPr>
        <w:numPr>
          <w:ilvl w:val="0"/>
          <w:numId w:val="5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7"/>
          <w:szCs w:val="17"/>
          <w:lang w:val="en-GB"/>
        </w:rPr>
      </w:pPr>
      <w:r>
        <w:rPr>
          <w:rFonts w:ascii="Verdana" w:hAnsi="Verdana"/>
          <w:color w:val="525A66"/>
          <w:sz w:val="17"/>
          <w:szCs w:val="17"/>
          <w:lang w:val="en-GB"/>
        </w:rPr>
        <w:t xml:space="preserve">International Society for Sociology of religion - </w:t>
      </w:r>
      <w:hyperlink r:id="rId12" w:tgtFrame="_blank" w:history="1">
        <w:r>
          <w:rPr>
            <w:rStyle w:val="Lienhypertexte"/>
            <w:rFonts w:ascii="Verdana" w:hAnsi="Verdana"/>
            <w:sz w:val="17"/>
            <w:szCs w:val="17"/>
            <w:lang w:val="en-GB"/>
          </w:rPr>
          <w:t>ISSR</w:t>
        </w:r>
      </w:hyperlink>
      <w:r>
        <w:rPr>
          <w:rFonts w:ascii="Verdana" w:hAnsi="Verdana"/>
          <w:color w:val="525A66"/>
          <w:sz w:val="17"/>
          <w:szCs w:val="17"/>
          <w:lang w:val="en-GB"/>
        </w:rPr>
        <w:t xml:space="preserve"> (1998- ) </w:t>
      </w:r>
    </w:p>
    <w:p w:rsidR="00B22757" w:rsidRDefault="00B22757" w:rsidP="00A276D7">
      <w:pPr>
        <w:numPr>
          <w:ilvl w:val="0"/>
          <w:numId w:val="5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7"/>
          <w:szCs w:val="17"/>
        </w:rPr>
      </w:pPr>
      <w:r>
        <w:rPr>
          <w:rFonts w:ascii="Verdana" w:hAnsi="Verdana"/>
          <w:color w:val="525A66"/>
          <w:sz w:val="17"/>
          <w:szCs w:val="17"/>
        </w:rPr>
        <w:t xml:space="preserve">Groupe des canonistes francophones de Belgique - </w:t>
      </w:r>
      <w:hyperlink r:id="rId13" w:tgtFrame="_blank" w:history="1">
        <w:r>
          <w:rPr>
            <w:rStyle w:val="Lienhypertexte"/>
            <w:rFonts w:ascii="Verdana" w:hAnsi="Verdana"/>
            <w:sz w:val="17"/>
            <w:szCs w:val="17"/>
          </w:rPr>
          <w:t>GCF</w:t>
        </w:r>
      </w:hyperlink>
      <w:r>
        <w:rPr>
          <w:rFonts w:ascii="Verdana" w:hAnsi="Verdana"/>
          <w:color w:val="525A66"/>
          <w:sz w:val="17"/>
          <w:szCs w:val="17"/>
        </w:rPr>
        <w:t xml:space="preserve"> (membre : 1993- ; président : 2003</w:t>
      </w:r>
      <w:r w:rsidR="008D478F">
        <w:rPr>
          <w:rFonts w:ascii="Verdana" w:hAnsi="Verdana"/>
          <w:color w:val="525A66"/>
          <w:sz w:val="17"/>
          <w:szCs w:val="17"/>
        </w:rPr>
        <w:t>- )</w:t>
      </w:r>
      <w:r>
        <w:rPr>
          <w:rFonts w:ascii="Verdana" w:hAnsi="Verdana"/>
          <w:color w:val="525A66"/>
          <w:sz w:val="17"/>
          <w:szCs w:val="17"/>
        </w:rPr>
        <w:t xml:space="preserve"> </w:t>
      </w:r>
    </w:p>
    <w:p w:rsidR="00B22757" w:rsidRDefault="00B22757" w:rsidP="00A276D7">
      <w:pPr>
        <w:numPr>
          <w:ilvl w:val="0"/>
          <w:numId w:val="5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7"/>
          <w:szCs w:val="17"/>
          <w:lang w:val="fr-FR"/>
        </w:rPr>
      </w:pPr>
      <w:r>
        <w:rPr>
          <w:rFonts w:ascii="Verdana" w:hAnsi="Verdana"/>
          <w:color w:val="525A66"/>
          <w:sz w:val="17"/>
          <w:szCs w:val="17"/>
        </w:rPr>
        <w:t xml:space="preserve">Consortium Droit canonique et culture - </w:t>
      </w:r>
      <w:hyperlink r:id="rId14" w:tgtFrame="_blank" w:history="1">
        <w:r>
          <w:rPr>
            <w:rStyle w:val="Lienhypertexte"/>
            <w:rFonts w:ascii="Verdana" w:hAnsi="Verdana"/>
            <w:sz w:val="17"/>
            <w:szCs w:val="17"/>
          </w:rPr>
          <w:t xml:space="preserve">CiDCC </w:t>
        </w:r>
      </w:hyperlink>
      <w:r>
        <w:rPr>
          <w:rFonts w:ascii="Verdana" w:hAnsi="Verdana"/>
          <w:color w:val="525A66"/>
          <w:sz w:val="17"/>
          <w:szCs w:val="17"/>
        </w:rPr>
        <w:t xml:space="preserve">- ICP, </w:t>
      </w:r>
      <w:r w:rsidR="008D478F">
        <w:rPr>
          <w:rFonts w:ascii="Verdana" w:hAnsi="Verdana"/>
          <w:color w:val="525A66"/>
          <w:sz w:val="17"/>
          <w:szCs w:val="17"/>
        </w:rPr>
        <w:t>(secrétaire</w:t>
      </w:r>
      <w:r>
        <w:rPr>
          <w:rFonts w:ascii="Verdana" w:hAnsi="Verdana"/>
          <w:color w:val="525A66"/>
          <w:sz w:val="17"/>
          <w:szCs w:val="17"/>
        </w:rPr>
        <w:t xml:space="preserve"> général du secteur « Europe » (2003-2009) et « Droit comparé » (2010 -</w:t>
      </w:r>
      <w:r w:rsidR="008D478F">
        <w:rPr>
          <w:rFonts w:ascii="Verdana" w:hAnsi="Verdana"/>
          <w:color w:val="525A66"/>
          <w:sz w:val="17"/>
          <w:szCs w:val="17"/>
        </w:rPr>
        <w:t>…)</w:t>
      </w:r>
      <w:r>
        <w:rPr>
          <w:rFonts w:ascii="Verdana" w:hAnsi="Verdana"/>
          <w:color w:val="525A66"/>
          <w:sz w:val="17"/>
          <w:szCs w:val="17"/>
        </w:rPr>
        <w:t xml:space="preserve">) </w:t>
      </w:r>
    </w:p>
    <w:p w:rsidR="00B22757" w:rsidRDefault="00B22757" w:rsidP="00A276D7">
      <w:pPr>
        <w:numPr>
          <w:ilvl w:val="0"/>
          <w:numId w:val="5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7"/>
          <w:szCs w:val="17"/>
        </w:rPr>
      </w:pPr>
      <w:r>
        <w:rPr>
          <w:rFonts w:ascii="Verdana" w:hAnsi="Verdana"/>
          <w:color w:val="525A66"/>
          <w:sz w:val="17"/>
          <w:szCs w:val="17"/>
        </w:rPr>
        <w:t xml:space="preserve">Réseau sociologique et juridique sur la religion en Europe - </w:t>
      </w:r>
      <w:hyperlink r:id="rId15" w:tgtFrame="_blank" w:history="1">
        <w:r>
          <w:rPr>
            <w:rStyle w:val="Lienhypertexte"/>
            <w:rFonts w:ascii="Verdana" w:hAnsi="Verdana"/>
            <w:sz w:val="17"/>
            <w:szCs w:val="17"/>
          </w:rPr>
          <w:t>Eurel</w:t>
        </w:r>
      </w:hyperlink>
      <w:r>
        <w:rPr>
          <w:rFonts w:ascii="Verdana" w:hAnsi="Verdana"/>
          <w:color w:val="525A66"/>
          <w:sz w:val="17"/>
          <w:szCs w:val="17"/>
        </w:rPr>
        <w:t xml:space="preserve"> (CNRS-Prisme-GSRL) (2007 - ) </w:t>
      </w:r>
    </w:p>
    <w:p w:rsidR="00B22757" w:rsidRDefault="00B22757" w:rsidP="00A276D7">
      <w:pPr>
        <w:numPr>
          <w:ilvl w:val="0"/>
          <w:numId w:val="5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7"/>
          <w:szCs w:val="17"/>
          <w:lang w:val="en-GB"/>
        </w:rPr>
      </w:pPr>
      <w:r>
        <w:rPr>
          <w:rFonts w:ascii="Verdana" w:hAnsi="Verdana"/>
          <w:color w:val="525A66"/>
          <w:sz w:val="17"/>
          <w:szCs w:val="17"/>
          <w:lang w:val="en-GB"/>
        </w:rPr>
        <w:t xml:space="preserve">European Studies on Religion and State Interaction Network - </w:t>
      </w:r>
      <w:hyperlink r:id="rId16" w:tgtFrame="_blank" w:history="1">
        <w:r>
          <w:rPr>
            <w:rStyle w:val="Lienhypertexte"/>
            <w:rFonts w:ascii="Verdana" w:hAnsi="Verdana"/>
            <w:sz w:val="17"/>
            <w:szCs w:val="17"/>
            <w:lang w:val="en-GB"/>
          </w:rPr>
          <w:t>EuReSisNet</w:t>
        </w:r>
      </w:hyperlink>
      <w:r>
        <w:rPr>
          <w:rFonts w:ascii="Verdana" w:hAnsi="Verdana"/>
          <w:color w:val="525A66"/>
          <w:sz w:val="17"/>
          <w:szCs w:val="17"/>
          <w:lang w:val="en-GB"/>
        </w:rPr>
        <w:t xml:space="preserve"> (2007-2010) </w:t>
      </w:r>
    </w:p>
    <w:p w:rsidR="00B22757" w:rsidRDefault="00B22757" w:rsidP="00A276D7">
      <w:pPr>
        <w:numPr>
          <w:ilvl w:val="0"/>
          <w:numId w:val="5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7"/>
          <w:szCs w:val="17"/>
          <w:lang w:val="en-GB"/>
        </w:rPr>
      </w:pPr>
      <w:r>
        <w:rPr>
          <w:rFonts w:ascii="Verdana" w:hAnsi="Verdana"/>
          <w:color w:val="525A66"/>
          <w:sz w:val="17"/>
          <w:szCs w:val="17"/>
          <w:lang w:val="en-GB"/>
        </w:rPr>
        <w:t xml:space="preserve">International Consortium for Law and Religion Studies - </w:t>
      </w:r>
      <w:hyperlink r:id="rId17" w:tgtFrame="_blank" w:history="1">
        <w:r>
          <w:rPr>
            <w:rStyle w:val="Lienhypertexte"/>
            <w:rFonts w:ascii="Verdana" w:hAnsi="Verdana"/>
            <w:sz w:val="17"/>
            <w:szCs w:val="17"/>
            <w:lang w:val="en-GB"/>
          </w:rPr>
          <w:t>ICLaRS</w:t>
        </w:r>
      </w:hyperlink>
      <w:r>
        <w:rPr>
          <w:rFonts w:ascii="Verdana" w:hAnsi="Verdana"/>
          <w:color w:val="525A66"/>
          <w:sz w:val="17"/>
          <w:szCs w:val="17"/>
          <w:lang w:val="en-GB"/>
        </w:rPr>
        <w:t xml:space="preserve"> (2008 - ) </w:t>
      </w:r>
    </w:p>
    <w:p w:rsidR="00B22757" w:rsidRDefault="00B22757" w:rsidP="00A276D7">
      <w:pPr>
        <w:numPr>
          <w:ilvl w:val="0"/>
          <w:numId w:val="5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7"/>
          <w:szCs w:val="17"/>
        </w:rPr>
      </w:pPr>
      <w:r>
        <w:rPr>
          <w:rFonts w:ascii="Verdana" w:hAnsi="Verdana"/>
          <w:color w:val="525A66"/>
          <w:sz w:val="17"/>
          <w:szCs w:val="17"/>
        </w:rPr>
        <w:t xml:space="preserve">Religare - European FP7 Network - </w:t>
      </w:r>
      <w:hyperlink r:id="rId18" w:tgtFrame="_blank" w:tooltip="Religare" w:history="1">
        <w:r>
          <w:rPr>
            <w:rStyle w:val="Lienhypertexte"/>
            <w:rFonts w:ascii="Verdana" w:hAnsi="Verdana"/>
            <w:sz w:val="17"/>
            <w:szCs w:val="17"/>
          </w:rPr>
          <w:t>Religare</w:t>
        </w:r>
      </w:hyperlink>
      <w:r>
        <w:rPr>
          <w:rFonts w:ascii="Verdana" w:hAnsi="Verdana"/>
          <w:color w:val="525A66"/>
          <w:sz w:val="17"/>
          <w:szCs w:val="17"/>
        </w:rPr>
        <w:t xml:space="preserve"> (2010- ) </w:t>
      </w:r>
    </w:p>
    <w:p w:rsidR="00B22757" w:rsidRDefault="00B22757">
      <w:pPr>
        <w:pStyle w:val="NormalWeb"/>
        <w:ind w:left="1637"/>
        <w:rPr>
          <w:rFonts w:ascii="Verdana" w:hAnsi="Verdana"/>
          <w:color w:val="525A66"/>
          <w:sz w:val="17"/>
          <w:szCs w:val="17"/>
        </w:rPr>
      </w:pPr>
      <w:r>
        <w:rPr>
          <w:rStyle w:val="titre31"/>
          <w:rFonts w:ascii="Verdana" w:hAnsi="Verdana"/>
          <w:color w:val="525A66"/>
        </w:rPr>
        <w:t>Comités d'éditions scientifiques</w:t>
      </w:r>
    </w:p>
    <w:p w:rsidR="00B22757" w:rsidRDefault="00B22757" w:rsidP="00A276D7">
      <w:pPr>
        <w:numPr>
          <w:ilvl w:val="0"/>
          <w:numId w:val="6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7"/>
          <w:szCs w:val="17"/>
        </w:rPr>
      </w:pPr>
      <w:r>
        <w:rPr>
          <w:rFonts w:ascii="Verdana" w:hAnsi="Verdana"/>
          <w:color w:val="525A66"/>
          <w:sz w:val="17"/>
          <w:szCs w:val="17"/>
        </w:rPr>
        <w:t xml:space="preserve">Annuaire Droit et Religions (Université d’Aix-Marseille III) </w:t>
      </w:r>
    </w:p>
    <w:p w:rsidR="00B22757" w:rsidRDefault="00B22757" w:rsidP="00A276D7">
      <w:pPr>
        <w:numPr>
          <w:ilvl w:val="0"/>
          <w:numId w:val="6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7"/>
          <w:szCs w:val="17"/>
        </w:rPr>
      </w:pPr>
      <w:r>
        <w:rPr>
          <w:rFonts w:ascii="Verdana" w:hAnsi="Verdana"/>
          <w:color w:val="525A66"/>
          <w:sz w:val="17"/>
          <w:szCs w:val="17"/>
        </w:rPr>
        <w:t xml:space="preserve">Collection « Droit et Religion » (Editions Bruylant, Bruxelles) </w:t>
      </w:r>
    </w:p>
    <w:p w:rsidR="00B22757" w:rsidRDefault="00B22757" w:rsidP="00A276D7">
      <w:pPr>
        <w:numPr>
          <w:ilvl w:val="0"/>
          <w:numId w:val="6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7"/>
          <w:szCs w:val="17"/>
        </w:rPr>
      </w:pPr>
      <w:r>
        <w:rPr>
          <w:rFonts w:ascii="Verdana" w:hAnsi="Verdana"/>
          <w:color w:val="525A66"/>
          <w:sz w:val="17"/>
          <w:szCs w:val="17"/>
        </w:rPr>
        <w:t xml:space="preserve">Plural, Revue de l’Observatoire des relations administratives entre l’État, les cultes et la laïcité (Cifop) </w:t>
      </w:r>
    </w:p>
    <w:p w:rsidR="00B22757" w:rsidRDefault="00B22757" w:rsidP="00A276D7">
      <w:pPr>
        <w:numPr>
          <w:ilvl w:val="0"/>
          <w:numId w:val="6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7"/>
          <w:szCs w:val="17"/>
        </w:rPr>
      </w:pPr>
      <w:r>
        <w:rPr>
          <w:rFonts w:ascii="Verdana" w:hAnsi="Verdana"/>
          <w:color w:val="525A66"/>
          <w:sz w:val="17"/>
          <w:szCs w:val="17"/>
        </w:rPr>
        <w:t xml:space="preserve">Revue théologique de Louvain </w:t>
      </w:r>
    </w:p>
    <w:p w:rsidR="00B22757" w:rsidRDefault="00B22757" w:rsidP="00A276D7">
      <w:pPr>
        <w:numPr>
          <w:ilvl w:val="0"/>
          <w:numId w:val="6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7"/>
          <w:szCs w:val="17"/>
        </w:rPr>
      </w:pPr>
      <w:r>
        <w:rPr>
          <w:rFonts w:ascii="Verdana" w:hAnsi="Verdana"/>
          <w:color w:val="525A66"/>
          <w:sz w:val="17"/>
          <w:szCs w:val="17"/>
        </w:rPr>
        <w:t xml:space="preserve">Studia z Prawa Wyznaniowego (Studies in Ecclesiastical Law) (Université de Lublin) </w:t>
      </w:r>
    </w:p>
    <w:p w:rsidR="00B22757" w:rsidRDefault="00B22757">
      <w:pPr>
        <w:pStyle w:val="NormalWeb"/>
        <w:ind w:left="1637"/>
        <w:rPr>
          <w:rFonts w:ascii="Verdana" w:hAnsi="Verdana"/>
          <w:color w:val="525A66"/>
          <w:sz w:val="17"/>
          <w:szCs w:val="17"/>
        </w:rPr>
      </w:pPr>
      <w:r>
        <w:rPr>
          <w:rStyle w:val="titre31"/>
          <w:rFonts w:ascii="Verdana" w:hAnsi="Verdana"/>
          <w:color w:val="525A66"/>
        </w:rPr>
        <w:t>Bibliographie significative</w:t>
      </w:r>
    </w:p>
    <w:p w:rsidR="00B22757" w:rsidRPr="00B22757" w:rsidRDefault="00B22757" w:rsidP="00A276D7">
      <w:pPr>
        <w:numPr>
          <w:ilvl w:val="0"/>
          <w:numId w:val="7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8"/>
          <w:szCs w:val="18"/>
        </w:rPr>
      </w:pPr>
      <w:r w:rsidRPr="00B22757">
        <w:rPr>
          <w:rFonts w:ascii="Verdana" w:hAnsi="Verdana"/>
          <w:color w:val="525A66"/>
          <w:sz w:val="18"/>
          <w:szCs w:val="18"/>
        </w:rPr>
        <w:t xml:space="preserve">Christians, L.L. (avec B. Dupret) (2011), v° Droit et religion (internormativité), </w:t>
      </w:r>
      <w:r w:rsidRPr="00B22757">
        <w:rPr>
          <w:rStyle w:val="Accentuation"/>
          <w:rFonts w:ascii="Verdana" w:hAnsi="Verdana"/>
          <w:color w:val="525A66"/>
          <w:sz w:val="18"/>
          <w:szCs w:val="18"/>
        </w:rPr>
        <w:t>Dictionnaire des faits religieux</w:t>
      </w:r>
      <w:r w:rsidRPr="00B22757">
        <w:rPr>
          <w:rFonts w:ascii="Verdana" w:hAnsi="Verdana"/>
          <w:color w:val="525A66"/>
          <w:sz w:val="18"/>
          <w:szCs w:val="18"/>
        </w:rPr>
        <w:t xml:space="preserve">, (dir. R. Azria et D. Hervieu-Léger), Paris, PUF, 2011 </w:t>
      </w:r>
    </w:p>
    <w:p w:rsidR="00B22757" w:rsidRPr="00B22757" w:rsidRDefault="00B22757" w:rsidP="00A276D7">
      <w:pPr>
        <w:numPr>
          <w:ilvl w:val="0"/>
          <w:numId w:val="7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8"/>
          <w:szCs w:val="18"/>
          <w:lang w:val="en-GB"/>
        </w:rPr>
      </w:pPr>
      <w:r w:rsidRPr="00B22757">
        <w:rPr>
          <w:rFonts w:ascii="Verdana" w:hAnsi="Verdana"/>
          <w:color w:val="525A66"/>
          <w:sz w:val="18"/>
          <w:szCs w:val="18"/>
          <w:lang w:val="en-GB"/>
        </w:rPr>
        <w:t xml:space="preserve">Christians, L.-L., "Sustainable management of religious </w:t>
      </w:r>
      <w:r w:rsidR="008D478F" w:rsidRPr="00B22757">
        <w:rPr>
          <w:rFonts w:ascii="Verdana" w:hAnsi="Verdana"/>
          <w:color w:val="525A66"/>
          <w:sz w:val="18"/>
          <w:szCs w:val="18"/>
          <w:lang w:val="en-GB"/>
        </w:rPr>
        <w:t>diversity:</w:t>
      </w:r>
      <w:r w:rsidRPr="00B22757">
        <w:rPr>
          <w:rFonts w:ascii="Verdana" w:hAnsi="Verdana"/>
          <w:color w:val="525A66"/>
          <w:sz w:val="18"/>
          <w:szCs w:val="18"/>
          <w:lang w:val="en-GB"/>
        </w:rPr>
        <w:t xml:space="preserve"> an overview of the Belgian model and its prospects for success", in M. Cl. Foblets,</w:t>
      </w:r>
      <w:r w:rsidR="008D478F" w:rsidRPr="00B22757">
        <w:rPr>
          <w:rFonts w:ascii="Verdana" w:hAnsi="Verdana"/>
          <w:color w:val="525A66"/>
          <w:sz w:val="18"/>
          <w:szCs w:val="18"/>
          <w:lang w:val="en-GB"/>
        </w:rPr>
        <w:t> J</w:t>
      </w:r>
      <w:r w:rsidR="008D478F">
        <w:rPr>
          <w:rFonts w:ascii="Verdana" w:hAnsi="Verdana"/>
          <w:color w:val="525A66"/>
          <w:sz w:val="18"/>
          <w:szCs w:val="18"/>
          <w:lang w:val="en-GB"/>
        </w:rPr>
        <w:t>.-F. Gaudreault-Desb</w:t>
      </w:r>
      <w:r w:rsidRPr="00B22757">
        <w:rPr>
          <w:rFonts w:ascii="Verdana" w:hAnsi="Verdana"/>
          <w:color w:val="525A66"/>
          <w:sz w:val="18"/>
          <w:szCs w:val="18"/>
          <w:lang w:val="en-GB"/>
        </w:rPr>
        <w:t xml:space="preserve">iens,  A. Dundes Renteln, Cultural diversity and the law. State responses from around the world, Montréal, Yvon Blais, Bruxelles, Bruylant, 2010, pp. 819-843 </w:t>
      </w:r>
    </w:p>
    <w:p w:rsidR="00B22757" w:rsidRPr="00B22757" w:rsidRDefault="00B22757" w:rsidP="00A276D7">
      <w:pPr>
        <w:numPr>
          <w:ilvl w:val="0"/>
          <w:numId w:val="7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8"/>
          <w:szCs w:val="18"/>
        </w:rPr>
      </w:pPr>
      <w:r w:rsidRPr="00B22757">
        <w:rPr>
          <w:rFonts w:ascii="Verdana" w:hAnsi="Verdana"/>
          <w:color w:val="525A66"/>
          <w:sz w:val="18"/>
          <w:szCs w:val="18"/>
        </w:rPr>
        <w:t xml:space="preserve">Christians, L.L. (X. Dijon et al., eds), (2009) </w:t>
      </w:r>
      <w:r w:rsidRPr="00B22757">
        <w:rPr>
          <w:rStyle w:val="Accentuation"/>
          <w:rFonts w:ascii="Verdana" w:hAnsi="Verdana"/>
          <w:color w:val="525A66"/>
          <w:sz w:val="18"/>
          <w:szCs w:val="18"/>
        </w:rPr>
        <w:t>Droit naturel. Relancer l'histoire</w:t>
      </w:r>
      <w:r w:rsidRPr="00B22757">
        <w:rPr>
          <w:rFonts w:ascii="Verdana" w:hAnsi="Verdana"/>
          <w:color w:val="525A66"/>
          <w:sz w:val="18"/>
          <w:szCs w:val="18"/>
        </w:rPr>
        <w:t xml:space="preserve">, Bruxelles, Bruylant, 734 pp. </w:t>
      </w:r>
    </w:p>
    <w:p w:rsidR="00B22757" w:rsidRPr="00B22757" w:rsidRDefault="00B22757" w:rsidP="00A276D7">
      <w:pPr>
        <w:numPr>
          <w:ilvl w:val="0"/>
          <w:numId w:val="7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8"/>
          <w:szCs w:val="18"/>
          <w:lang w:val="fr-FR"/>
        </w:rPr>
      </w:pPr>
      <w:r w:rsidRPr="00B22757">
        <w:rPr>
          <w:rFonts w:ascii="Verdana" w:hAnsi="Verdana"/>
          <w:color w:val="525A66"/>
          <w:sz w:val="18"/>
          <w:szCs w:val="18"/>
        </w:rPr>
        <w:t xml:space="preserve">Christians, L.L. (dir.) (2007), </w:t>
      </w:r>
      <w:r w:rsidRPr="00B22757">
        <w:rPr>
          <w:rStyle w:val="Accentuation"/>
          <w:rFonts w:ascii="Verdana" w:hAnsi="Verdana"/>
          <w:color w:val="525A66"/>
          <w:sz w:val="18"/>
          <w:szCs w:val="18"/>
        </w:rPr>
        <w:t>La déontologie des ministères ecclésiaux</w:t>
      </w:r>
      <w:r w:rsidRPr="00B22757">
        <w:rPr>
          <w:rFonts w:ascii="Verdana" w:hAnsi="Verdana"/>
          <w:color w:val="525A66"/>
          <w:sz w:val="18"/>
          <w:szCs w:val="18"/>
        </w:rPr>
        <w:t xml:space="preserve">, Paris, Cerf, 220 p. </w:t>
      </w:r>
    </w:p>
    <w:p w:rsidR="00B22757" w:rsidRPr="00B22757" w:rsidRDefault="00B22757" w:rsidP="00A276D7">
      <w:pPr>
        <w:numPr>
          <w:ilvl w:val="0"/>
          <w:numId w:val="7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8"/>
          <w:szCs w:val="18"/>
        </w:rPr>
      </w:pPr>
      <w:r w:rsidRPr="00775F55">
        <w:rPr>
          <w:rFonts w:ascii="Verdana" w:hAnsi="Verdana"/>
          <w:color w:val="525A66"/>
          <w:sz w:val="18"/>
          <w:szCs w:val="18"/>
        </w:rPr>
        <w:t xml:space="preserve">Christians, L.L., de Pooter, P. (2006), </w:t>
      </w:r>
      <w:r w:rsidRPr="00775F55">
        <w:rPr>
          <w:rStyle w:val="Accentuation"/>
          <w:rFonts w:ascii="Verdana" w:hAnsi="Verdana"/>
          <w:color w:val="525A66"/>
          <w:sz w:val="18"/>
          <w:szCs w:val="18"/>
        </w:rPr>
        <w:t>Belgische Codex recht en religie</w:t>
      </w:r>
      <w:r w:rsidRPr="00775F55">
        <w:rPr>
          <w:rFonts w:ascii="Verdana" w:hAnsi="Verdana"/>
          <w:color w:val="525A66"/>
          <w:sz w:val="18"/>
          <w:szCs w:val="18"/>
        </w:rPr>
        <w:t>, Brussel,</w:t>
      </w:r>
      <w:r w:rsidRPr="00B22757">
        <w:rPr>
          <w:rFonts w:ascii="Verdana" w:hAnsi="Verdana"/>
          <w:color w:val="525A66"/>
          <w:sz w:val="18"/>
          <w:szCs w:val="18"/>
        </w:rPr>
        <w:t xml:space="preserve"> Bruylant, 686 p. </w:t>
      </w:r>
    </w:p>
    <w:p w:rsidR="00B22757" w:rsidRPr="00B22757" w:rsidRDefault="00B22757" w:rsidP="00A276D7">
      <w:pPr>
        <w:numPr>
          <w:ilvl w:val="0"/>
          <w:numId w:val="7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8"/>
          <w:szCs w:val="18"/>
        </w:rPr>
      </w:pPr>
      <w:r w:rsidRPr="00B22757">
        <w:rPr>
          <w:rFonts w:ascii="Verdana" w:hAnsi="Verdana"/>
          <w:color w:val="525A66"/>
          <w:sz w:val="18"/>
          <w:szCs w:val="18"/>
        </w:rPr>
        <w:t xml:space="preserve">Christians, L.L., de Pooter, P. (2005), </w:t>
      </w:r>
      <w:r w:rsidRPr="00B22757">
        <w:rPr>
          <w:rStyle w:val="Accentuation"/>
          <w:rFonts w:ascii="Verdana" w:hAnsi="Verdana"/>
          <w:color w:val="525A66"/>
          <w:sz w:val="18"/>
          <w:szCs w:val="18"/>
        </w:rPr>
        <w:t>Code belge droit et religions</w:t>
      </w:r>
      <w:r w:rsidRPr="00B22757">
        <w:rPr>
          <w:rFonts w:ascii="Verdana" w:hAnsi="Verdana"/>
          <w:color w:val="525A66"/>
          <w:sz w:val="18"/>
          <w:szCs w:val="18"/>
        </w:rPr>
        <w:t xml:space="preserve">, Bruxelles, Bruylant, 624 p. </w:t>
      </w:r>
    </w:p>
    <w:p w:rsidR="00B22757" w:rsidRPr="00B22757" w:rsidRDefault="00B22757" w:rsidP="00A276D7">
      <w:pPr>
        <w:numPr>
          <w:ilvl w:val="0"/>
          <w:numId w:val="7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8"/>
          <w:szCs w:val="18"/>
          <w:lang w:val="en-GB"/>
        </w:rPr>
      </w:pPr>
      <w:r w:rsidRPr="00B22757">
        <w:rPr>
          <w:rFonts w:ascii="Verdana" w:hAnsi="Verdana"/>
          <w:color w:val="525A66"/>
          <w:sz w:val="18"/>
          <w:szCs w:val="18"/>
          <w:lang w:val="en-GB"/>
        </w:rPr>
        <w:t xml:space="preserve">Christians, L.L., Caparros, E. (dir) (2002), </w:t>
      </w:r>
      <w:r w:rsidRPr="00B22757">
        <w:rPr>
          <w:rStyle w:val="Accentuation"/>
          <w:rFonts w:ascii="Verdana" w:hAnsi="Verdana"/>
          <w:color w:val="525A66"/>
          <w:sz w:val="18"/>
          <w:szCs w:val="18"/>
          <w:lang w:val="en-GB"/>
        </w:rPr>
        <w:t>Religion in comparative law at the dawn of the XXI century,</w:t>
      </w:r>
      <w:r w:rsidRPr="00B22757">
        <w:rPr>
          <w:rFonts w:ascii="Verdana" w:hAnsi="Verdana"/>
          <w:color w:val="525A66"/>
          <w:sz w:val="18"/>
          <w:szCs w:val="18"/>
          <w:lang w:val="en-GB"/>
        </w:rPr>
        <w:t xml:space="preserve"> (International Academy of Comparative Law), Bruxelles, Bruylant, 500 p. </w:t>
      </w:r>
    </w:p>
    <w:p w:rsidR="00B22757" w:rsidRPr="00B22757" w:rsidRDefault="00B22757" w:rsidP="00A276D7">
      <w:pPr>
        <w:numPr>
          <w:ilvl w:val="0"/>
          <w:numId w:val="7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8"/>
          <w:szCs w:val="18"/>
        </w:rPr>
      </w:pPr>
      <w:r w:rsidRPr="00B22757">
        <w:rPr>
          <w:rFonts w:ascii="Verdana" w:hAnsi="Verdana"/>
          <w:color w:val="525A66"/>
          <w:sz w:val="18"/>
          <w:szCs w:val="18"/>
        </w:rPr>
        <w:lastRenderedPageBreak/>
        <w:t xml:space="preserve">Christians, L.-L. (avec Saroglou, V., Buxant, C., &amp; Casalfiore, S.) (2005), </w:t>
      </w:r>
      <w:r w:rsidRPr="00B22757">
        <w:rPr>
          <w:rStyle w:val="Accentuation"/>
          <w:rFonts w:ascii="Verdana" w:hAnsi="Verdana"/>
          <w:color w:val="525A66"/>
          <w:sz w:val="18"/>
          <w:szCs w:val="18"/>
        </w:rPr>
        <w:t>Mouvements religieux contestés : Psychologie, droit et politiques de précaution</w:t>
      </w:r>
      <w:r w:rsidRPr="00B22757">
        <w:rPr>
          <w:rFonts w:ascii="Verdana" w:hAnsi="Verdana"/>
          <w:color w:val="525A66"/>
          <w:sz w:val="18"/>
          <w:szCs w:val="18"/>
        </w:rPr>
        <w:t xml:space="preserve">. Gent : Academia Press (série Problèmes actuels concernant la cohésion sociale), 216 pp. </w:t>
      </w:r>
    </w:p>
    <w:p w:rsidR="00B22757" w:rsidRPr="00B22757" w:rsidRDefault="00B22757" w:rsidP="00A276D7">
      <w:pPr>
        <w:numPr>
          <w:ilvl w:val="0"/>
          <w:numId w:val="7"/>
        </w:numPr>
        <w:spacing w:before="100" w:beforeAutospacing="1" w:after="100" w:afterAutospacing="1"/>
        <w:ind w:left="1637"/>
        <w:rPr>
          <w:rFonts w:ascii="Verdana" w:hAnsi="Verdana"/>
          <w:color w:val="525A66"/>
          <w:sz w:val="18"/>
          <w:szCs w:val="18"/>
          <w:lang w:val="en-GB"/>
        </w:rPr>
      </w:pPr>
      <w:r w:rsidRPr="00B22757">
        <w:rPr>
          <w:rFonts w:ascii="Verdana" w:hAnsi="Verdana"/>
          <w:color w:val="525A66"/>
          <w:sz w:val="18"/>
          <w:szCs w:val="18"/>
          <w:lang w:val="en-GB"/>
        </w:rPr>
        <w:t xml:space="preserve">Christians, L.L. (2006), Religious Law and Secular Law in Democracy. The Evolutions of the Roman Catholic Church after the Council Vatican II, </w:t>
      </w:r>
      <w:r w:rsidRPr="00B22757">
        <w:rPr>
          <w:rStyle w:val="Accentuation"/>
          <w:rFonts w:ascii="Verdana" w:hAnsi="Verdana"/>
          <w:color w:val="525A66"/>
          <w:sz w:val="18"/>
          <w:szCs w:val="18"/>
          <w:lang w:val="en-GB"/>
        </w:rPr>
        <w:t>Brigham Young University Law Review</w:t>
      </w:r>
      <w:r w:rsidR="006C6FC8">
        <w:rPr>
          <w:rFonts w:ascii="Verdana" w:hAnsi="Verdana"/>
          <w:color w:val="525A66"/>
          <w:sz w:val="18"/>
          <w:szCs w:val="18"/>
          <w:lang w:val="en-GB"/>
        </w:rPr>
        <w:t>, 101-117.</w:t>
      </w:r>
    </w:p>
    <w:sectPr w:rsidR="00B22757" w:rsidRPr="00B22757" w:rsidSect="00EA0B2F">
      <w:pgSz w:w="11906" w:h="16838" w:code="9"/>
      <w:pgMar w:top="975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0A81"/>
    <w:multiLevelType w:val="multilevel"/>
    <w:tmpl w:val="68FA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5332B"/>
    <w:multiLevelType w:val="multilevel"/>
    <w:tmpl w:val="8146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96B29"/>
    <w:multiLevelType w:val="multilevel"/>
    <w:tmpl w:val="9846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F13EA"/>
    <w:multiLevelType w:val="multilevel"/>
    <w:tmpl w:val="4E22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A287C"/>
    <w:multiLevelType w:val="multilevel"/>
    <w:tmpl w:val="95A0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D413C"/>
    <w:multiLevelType w:val="multilevel"/>
    <w:tmpl w:val="AFF6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E3B58"/>
    <w:multiLevelType w:val="multilevel"/>
    <w:tmpl w:val="C862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71"/>
    <w:rsid w:val="00015D20"/>
    <w:rsid w:val="00034CD2"/>
    <w:rsid w:val="00042945"/>
    <w:rsid w:val="00043453"/>
    <w:rsid w:val="0006373F"/>
    <w:rsid w:val="0006519C"/>
    <w:rsid w:val="00071326"/>
    <w:rsid w:val="00073B97"/>
    <w:rsid w:val="000C2F65"/>
    <w:rsid w:val="000C5E24"/>
    <w:rsid w:val="000D0AA3"/>
    <w:rsid w:val="000D5CAC"/>
    <w:rsid w:val="000F4870"/>
    <w:rsid w:val="00112B57"/>
    <w:rsid w:val="0013239C"/>
    <w:rsid w:val="001374B8"/>
    <w:rsid w:val="001733BB"/>
    <w:rsid w:val="001818E8"/>
    <w:rsid w:val="001A0BB8"/>
    <w:rsid w:val="001A24D4"/>
    <w:rsid w:val="001B2C92"/>
    <w:rsid w:val="001D243C"/>
    <w:rsid w:val="001E60C5"/>
    <w:rsid w:val="00206CC8"/>
    <w:rsid w:val="00207E9C"/>
    <w:rsid w:val="00214B39"/>
    <w:rsid w:val="0022583E"/>
    <w:rsid w:val="00236065"/>
    <w:rsid w:val="00242D6D"/>
    <w:rsid w:val="0025365E"/>
    <w:rsid w:val="0025618E"/>
    <w:rsid w:val="002603A4"/>
    <w:rsid w:val="00276866"/>
    <w:rsid w:val="0028153B"/>
    <w:rsid w:val="002912E3"/>
    <w:rsid w:val="00297B4E"/>
    <w:rsid w:val="002B1AEB"/>
    <w:rsid w:val="002C3272"/>
    <w:rsid w:val="002C3BBB"/>
    <w:rsid w:val="002C57BE"/>
    <w:rsid w:val="002D1B3C"/>
    <w:rsid w:val="002D7F78"/>
    <w:rsid w:val="002F0178"/>
    <w:rsid w:val="003005F3"/>
    <w:rsid w:val="00304A9B"/>
    <w:rsid w:val="00305AD0"/>
    <w:rsid w:val="00322DAA"/>
    <w:rsid w:val="00351CCD"/>
    <w:rsid w:val="003B03BB"/>
    <w:rsid w:val="003B494C"/>
    <w:rsid w:val="003C71DB"/>
    <w:rsid w:val="003E0598"/>
    <w:rsid w:val="003E2052"/>
    <w:rsid w:val="003F104D"/>
    <w:rsid w:val="00405CE5"/>
    <w:rsid w:val="0040797B"/>
    <w:rsid w:val="004135EC"/>
    <w:rsid w:val="0042206F"/>
    <w:rsid w:val="00435059"/>
    <w:rsid w:val="00451293"/>
    <w:rsid w:val="00451B58"/>
    <w:rsid w:val="00482E53"/>
    <w:rsid w:val="00497B42"/>
    <w:rsid w:val="004B4C8F"/>
    <w:rsid w:val="004B589A"/>
    <w:rsid w:val="004C2E39"/>
    <w:rsid w:val="004C4FC5"/>
    <w:rsid w:val="004C57FC"/>
    <w:rsid w:val="004D1FB5"/>
    <w:rsid w:val="004D399E"/>
    <w:rsid w:val="004D5ED4"/>
    <w:rsid w:val="004F1DD5"/>
    <w:rsid w:val="00504259"/>
    <w:rsid w:val="0051275A"/>
    <w:rsid w:val="00516B57"/>
    <w:rsid w:val="005227FE"/>
    <w:rsid w:val="0052294A"/>
    <w:rsid w:val="00544CE3"/>
    <w:rsid w:val="005518EC"/>
    <w:rsid w:val="0055259D"/>
    <w:rsid w:val="005670FD"/>
    <w:rsid w:val="00582CA5"/>
    <w:rsid w:val="00593E00"/>
    <w:rsid w:val="0059608F"/>
    <w:rsid w:val="005B659F"/>
    <w:rsid w:val="005C7E39"/>
    <w:rsid w:val="005D0606"/>
    <w:rsid w:val="005D1B2A"/>
    <w:rsid w:val="005D7483"/>
    <w:rsid w:val="005E2D48"/>
    <w:rsid w:val="005E5F92"/>
    <w:rsid w:val="00603DB3"/>
    <w:rsid w:val="00605160"/>
    <w:rsid w:val="006163FC"/>
    <w:rsid w:val="00620D7D"/>
    <w:rsid w:val="00625FC0"/>
    <w:rsid w:val="00642BE0"/>
    <w:rsid w:val="006458A6"/>
    <w:rsid w:val="00651212"/>
    <w:rsid w:val="0065453F"/>
    <w:rsid w:val="0067599A"/>
    <w:rsid w:val="006768BC"/>
    <w:rsid w:val="0069063F"/>
    <w:rsid w:val="00693A85"/>
    <w:rsid w:val="006A5B05"/>
    <w:rsid w:val="006A5BA7"/>
    <w:rsid w:val="006A5BFB"/>
    <w:rsid w:val="006A65FB"/>
    <w:rsid w:val="006B0F44"/>
    <w:rsid w:val="006C2ED1"/>
    <w:rsid w:val="006C3847"/>
    <w:rsid w:val="006C6FC8"/>
    <w:rsid w:val="006D497E"/>
    <w:rsid w:val="006E1EFF"/>
    <w:rsid w:val="006E3CDC"/>
    <w:rsid w:val="006E4FE0"/>
    <w:rsid w:val="006F43A2"/>
    <w:rsid w:val="00711815"/>
    <w:rsid w:val="00712BDA"/>
    <w:rsid w:val="00713BF7"/>
    <w:rsid w:val="00726E78"/>
    <w:rsid w:val="00732133"/>
    <w:rsid w:val="00740F21"/>
    <w:rsid w:val="00745E3C"/>
    <w:rsid w:val="00746EE4"/>
    <w:rsid w:val="00747E21"/>
    <w:rsid w:val="00775F55"/>
    <w:rsid w:val="0078581C"/>
    <w:rsid w:val="00785AAB"/>
    <w:rsid w:val="00796CAD"/>
    <w:rsid w:val="007A7B16"/>
    <w:rsid w:val="007B3A87"/>
    <w:rsid w:val="007B49BA"/>
    <w:rsid w:val="007C6F71"/>
    <w:rsid w:val="007F3E22"/>
    <w:rsid w:val="007F6DFA"/>
    <w:rsid w:val="0082460A"/>
    <w:rsid w:val="00827181"/>
    <w:rsid w:val="00827E91"/>
    <w:rsid w:val="00834614"/>
    <w:rsid w:val="00847E02"/>
    <w:rsid w:val="008612F7"/>
    <w:rsid w:val="00861EDF"/>
    <w:rsid w:val="008671BB"/>
    <w:rsid w:val="008718E8"/>
    <w:rsid w:val="00886D7E"/>
    <w:rsid w:val="008A316D"/>
    <w:rsid w:val="008A695C"/>
    <w:rsid w:val="008B6ED7"/>
    <w:rsid w:val="008D3731"/>
    <w:rsid w:val="008D478F"/>
    <w:rsid w:val="00903FC5"/>
    <w:rsid w:val="0090460A"/>
    <w:rsid w:val="009119CA"/>
    <w:rsid w:val="0091636C"/>
    <w:rsid w:val="0092262E"/>
    <w:rsid w:val="00930093"/>
    <w:rsid w:val="009357BC"/>
    <w:rsid w:val="00944801"/>
    <w:rsid w:val="00944B35"/>
    <w:rsid w:val="00946B4D"/>
    <w:rsid w:val="00947AEF"/>
    <w:rsid w:val="00953038"/>
    <w:rsid w:val="009566BD"/>
    <w:rsid w:val="00957F9D"/>
    <w:rsid w:val="00963DC2"/>
    <w:rsid w:val="00963FC8"/>
    <w:rsid w:val="00984E0E"/>
    <w:rsid w:val="00994FAD"/>
    <w:rsid w:val="009961D1"/>
    <w:rsid w:val="00997BB0"/>
    <w:rsid w:val="009A0C0B"/>
    <w:rsid w:val="009A4F49"/>
    <w:rsid w:val="009B7465"/>
    <w:rsid w:val="009C2EF8"/>
    <w:rsid w:val="009C4945"/>
    <w:rsid w:val="009C7D82"/>
    <w:rsid w:val="009D5B79"/>
    <w:rsid w:val="009E1E83"/>
    <w:rsid w:val="009E7A15"/>
    <w:rsid w:val="00A00508"/>
    <w:rsid w:val="00A04D0D"/>
    <w:rsid w:val="00A21403"/>
    <w:rsid w:val="00A365C3"/>
    <w:rsid w:val="00A474F7"/>
    <w:rsid w:val="00A51D2D"/>
    <w:rsid w:val="00A535B2"/>
    <w:rsid w:val="00A64F1C"/>
    <w:rsid w:val="00A65ED8"/>
    <w:rsid w:val="00A66439"/>
    <w:rsid w:val="00A665EE"/>
    <w:rsid w:val="00A67A41"/>
    <w:rsid w:val="00A952C0"/>
    <w:rsid w:val="00AD04A0"/>
    <w:rsid w:val="00AD6D9D"/>
    <w:rsid w:val="00AD743B"/>
    <w:rsid w:val="00AE4EC3"/>
    <w:rsid w:val="00AE52A8"/>
    <w:rsid w:val="00AF325A"/>
    <w:rsid w:val="00AF7550"/>
    <w:rsid w:val="00AF7BB7"/>
    <w:rsid w:val="00B1303D"/>
    <w:rsid w:val="00B14890"/>
    <w:rsid w:val="00B214EC"/>
    <w:rsid w:val="00B22757"/>
    <w:rsid w:val="00B30DA7"/>
    <w:rsid w:val="00B335A1"/>
    <w:rsid w:val="00B54472"/>
    <w:rsid w:val="00B62897"/>
    <w:rsid w:val="00B6433F"/>
    <w:rsid w:val="00B712DA"/>
    <w:rsid w:val="00B818A5"/>
    <w:rsid w:val="00B86333"/>
    <w:rsid w:val="00B96276"/>
    <w:rsid w:val="00BA588E"/>
    <w:rsid w:val="00BC5912"/>
    <w:rsid w:val="00BC5FEB"/>
    <w:rsid w:val="00BF731A"/>
    <w:rsid w:val="00C04C7B"/>
    <w:rsid w:val="00C17F95"/>
    <w:rsid w:val="00C22B5D"/>
    <w:rsid w:val="00C257CC"/>
    <w:rsid w:val="00C34CA1"/>
    <w:rsid w:val="00C379C1"/>
    <w:rsid w:val="00C804A6"/>
    <w:rsid w:val="00C94EB7"/>
    <w:rsid w:val="00CC2851"/>
    <w:rsid w:val="00CF2C68"/>
    <w:rsid w:val="00CF4DA1"/>
    <w:rsid w:val="00D101EF"/>
    <w:rsid w:val="00D1371D"/>
    <w:rsid w:val="00D17CF8"/>
    <w:rsid w:val="00D20AC0"/>
    <w:rsid w:val="00D2215E"/>
    <w:rsid w:val="00D44FC7"/>
    <w:rsid w:val="00D500FE"/>
    <w:rsid w:val="00D642CB"/>
    <w:rsid w:val="00D72877"/>
    <w:rsid w:val="00D72D78"/>
    <w:rsid w:val="00D757B8"/>
    <w:rsid w:val="00D75C7D"/>
    <w:rsid w:val="00D865C0"/>
    <w:rsid w:val="00D968FB"/>
    <w:rsid w:val="00DA52BF"/>
    <w:rsid w:val="00DB19F6"/>
    <w:rsid w:val="00DB7257"/>
    <w:rsid w:val="00DC1DF0"/>
    <w:rsid w:val="00DD2301"/>
    <w:rsid w:val="00DD261C"/>
    <w:rsid w:val="00DD35A6"/>
    <w:rsid w:val="00DF2EEC"/>
    <w:rsid w:val="00E52EB1"/>
    <w:rsid w:val="00E554DF"/>
    <w:rsid w:val="00E56BEE"/>
    <w:rsid w:val="00E65951"/>
    <w:rsid w:val="00E93AAD"/>
    <w:rsid w:val="00EA0B2F"/>
    <w:rsid w:val="00EA16A4"/>
    <w:rsid w:val="00EA1BF9"/>
    <w:rsid w:val="00EA27B5"/>
    <w:rsid w:val="00EA3A6B"/>
    <w:rsid w:val="00EA5056"/>
    <w:rsid w:val="00EC59BD"/>
    <w:rsid w:val="00ED3B0A"/>
    <w:rsid w:val="00EE0F9A"/>
    <w:rsid w:val="00EE1DBC"/>
    <w:rsid w:val="00EE7ABA"/>
    <w:rsid w:val="00EF1FF4"/>
    <w:rsid w:val="00EF3E1C"/>
    <w:rsid w:val="00EF5525"/>
    <w:rsid w:val="00F03C68"/>
    <w:rsid w:val="00F05367"/>
    <w:rsid w:val="00F46A8F"/>
    <w:rsid w:val="00F5376F"/>
    <w:rsid w:val="00F7063D"/>
    <w:rsid w:val="00F73288"/>
    <w:rsid w:val="00F8221A"/>
    <w:rsid w:val="00F90D7E"/>
    <w:rsid w:val="00FA034C"/>
    <w:rsid w:val="00FB3D7F"/>
    <w:rsid w:val="00FB61C6"/>
    <w:rsid w:val="00FD28A7"/>
    <w:rsid w:val="00FE081A"/>
    <w:rsid w:val="00FE1BEC"/>
    <w:rsid w:val="00FE5514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D7559-ECCE-4849-A97B-F259695C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link w:val="Titre1Car"/>
    <w:qFormat/>
    <w:rsid w:val="00B712DA"/>
    <w:pPr>
      <w:outlineLvl w:val="0"/>
    </w:pPr>
    <w:rPr>
      <w:b/>
      <w:bCs/>
      <w:kern w:val="36"/>
      <w:sz w:val="38"/>
      <w:szCs w:val="3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12DA"/>
    <w:rPr>
      <w:b/>
      <w:bCs/>
      <w:kern w:val="36"/>
      <w:sz w:val="38"/>
      <w:szCs w:val="38"/>
      <w:lang w:val="fr-FR" w:eastAsia="fr-FR"/>
    </w:rPr>
  </w:style>
  <w:style w:type="character" w:styleId="Lienhypertexte">
    <w:name w:val="Hyperlink"/>
    <w:unhideWhenUsed/>
    <w:rsid w:val="00B712DA"/>
    <w:rPr>
      <w:strike w:val="0"/>
      <w:dstrike w:val="0"/>
      <w:color w:val="336699"/>
      <w:u w:val="none"/>
      <w:effect w:val="none"/>
    </w:rPr>
  </w:style>
  <w:style w:type="paragraph" w:styleId="NormalWeb">
    <w:name w:val="Normal (Web)"/>
    <w:basedOn w:val="Normal"/>
    <w:unhideWhenUsed/>
    <w:rsid w:val="00B712DA"/>
    <w:pPr>
      <w:spacing w:before="100" w:beforeAutospacing="1" w:after="100" w:afterAutospacing="1"/>
    </w:pPr>
    <w:rPr>
      <w:lang w:val="fr-FR"/>
    </w:rPr>
  </w:style>
  <w:style w:type="character" w:customStyle="1" w:styleId="titre31">
    <w:name w:val="titre31"/>
    <w:rsid w:val="00B712DA"/>
    <w:rPr>
      <w:b/>
      <w:bCs/>
      <w:sz w:val="24"/>
      <w:szCs w:val="24"/>
    </w:rPr>
  </w:style>
  <w:style w:type="character" w:customStyle="1" w:styleId="Normal1">
    <w:name w:val="Normal1"/>
    <w:rsid w:val="00B712DA"/>
  </w:style>
  <w:style w:type="character" w:customStyle="1" w:styleId="option21">
    <w:name w:val="option21"/>
    <w:rsid w:val="00B712DA"/>
    <w:rPr>
      <w:color w:val="B60C33"/>
      <w:sz w:val="17"/>
      <w:szCs w:val="17"/>
    </w:rPr>
  </w:style>
  <w:style w:type="character" w:customStyle="1" w:styleId="option11">
    <w:name w:val="option11"/>
    <w:rsid w:val="00B712DA"/>
    <w:rPr>
      <w:color w:val="434954"/>
      <w:sz w:val="17"/>
      <w:szCs w:val="17"/>
    </w:rPr>
  </w:style>
  <w:style w:type="character" w:styleId="Accentuation">
    <w:name w:val="Emphasis"/>
    <w:basedOn w:val="Policepardfaut"/>
    <w:qFormat/>
    <w:rsid w:val="00B712DA"/>
    <w:rPr>
      <w:i/>
      <w:iCs/>
    </w:rPr>
  </w:style>
  <w:style w:type="character" w:styleId="lev">
    <w:name w:val="Strong"/>
    <w:basedOn w:val="Policepardfaut"/>
    <w:qFormat/>
    <w:rsid w:val="00B71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ouvain.be/prog-2007-srel2m.html" TargetMode="External"/><Relationship Id="rId13" Type="http://schemas.openxmlformats.org/officeDocument/2006/relationships/hyperlink" Target="http://www.droitcanon.be" TargetMode="External"/><Relationship Id="rId18" Type="http://schemas.openxmlformats.org/officeDocument/2006/relationships/hyperlink" Target="http://www.religareprojec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louvain.be/rscs.html" TargetMode="External"/><Relationship Id="rId12" Type="http://schemas.openxmlformats.org/officeDocument/2006/relationships/hyperlink" Target="http://soc.kuleuven.be/ceso/sisr/eng/index.htm" TargetMode="External"/><Relationship Id="rId17" Type="http://schemas.openxmlformats.org/officeDocument/2006/relationships/hyperlink" Target="http://www.iclar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resisnet.eu/Pages/Default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idc.annee.canonique.org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eurel.info/FR/" TargetMode="External"/><Relationship Id="rId10" Type="http://schemas.openxmlformats.org/officeDocument/2006/relationships/hyperlink" Target="http://www.uclouvain.be/499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clouvain.be/cismoc" TargetMode="External"/><Relationship Id="rId14" Type="http://schemas.openxmlformats.org/officeDocument/2006/relationships/hyperlink" Target="http://www.icp.fr/icp/pdf/labo-dc3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782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Finetti</dc:creator>
  <cp:keywords/>
  <dc:description/>
  <cp:lastModifiedBy>Elio Finetti</cp:lastModifiedBy>
  <cp:revision>13</cp:revision>
  <dcterms:created xsi:type="dcterms:W3CDTF">2014-02-14T15:01:00Z</dcterms:created>
  <dcterms:modified xsi:type="dcterms:W3CDTF">2014-02-25T09:27:00Z</dcterms:modified>
</cp:coreProperties>
</file>