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left w:w="0" w:type="dxa"/>
          <w:right w:w="0" w:type="dxa"/>
        </w:tblCellMar>
        <w:tblLook w:val="04A0" w:firstRow="1" w:lastRow="0" w:firstColumn="1" w:lastColumn="0" w:noHBand="0" w:noVBand="1"/>
      </w:tblPr>
      <w:tblGrid>
        <w:gridCol w:w="4442"/>
        <w:gridCol w:w="4628"/>
      </w:tblGrid>
      <w:tr w:rsidR="00726BEC" w:rsidTr="00846104">
        <w:trPr>
          <w:trHeight w:val="769"/>
          <w:tblCellSpacing w:w="15" w:type="dxa"/>
        </w:trPr>
        <w:tc>
          <w:tcPr>
            <w:tcW w:w="2424" w:type="pct"/>
            <w:tcMar>
              <w:top w:w="15" w:type="dxa"/>
              <w:left w:w="15" w:type="dxa"/>
              <w:bottom w:w="15" w:type="dxa"/>
              <w:right w:w="15" w:type="dxa"/>
            </w:tcMar>
            <w:hideMark/>
          </w:tcPr>
          <w:p w:rsidR="00726BEC" w:rsidRDefault="00726BEC">
            <w:pPr>
              <w:jc w:val="center"/>
              <w:rPr>
                <w:b/>
                <w:bCs/>
                <w:i/>
                <w:iCs/>
                <w:sz w:val="15"/>
                <w:szCs w:val="15"/>
              </w:rPr>
            </w:pPr>
            <w:r>
              <w:rPr>
                <w:b/>
                <w:i/>
                <w:noProof/>
                <w:sz w:val="15"/>
                <w:szCs w:val="15"/>
                <w:lang w:eastAsia="fr-BE"/>
              </w:rPr>
              <w:drawing>
                <wp:inline distT="0" distB="0" distL="0" distR="0">
                  <wp:extent cx="1175385" cy="596900"/>
                  <wp:effectExtent l="0" t="0" r="571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5385" cy="596900"/>
                          </a:xfrm>
                          <a:prstGeom prst="rect">
                            <a:avLst/>
                          </a:prstGeom>
                          <a:noFill/>
                          <a:ln>
                            <a:noFill/>
                          </a:ln>
                        </pic:spPr>
                      </pic:pic>
                    </a:graphicData>
                  </a:graphic>
                </wp:inline>
              </w:drawing>
            </w:r>
          </w:p>
          <w:p w:rsidR="00726BEC" w:rsidRDefault="00726BEC">
            <w:pPr>
              <w:jc w:val="center"/>
              <w:rPr>
                <w:rFonts w:ascii="Arial" w:hAnsi="Arial" w:cs="Arial"/>
                <w:b/>
                <w:bCs/>
                <w:iCs/>
                <w:color w:val="333399"/>
                <w:sz w:val="12"/>
                <w:szCs w:val="12"/>
              </w:rPr>
            </w:pPr>
            <w:smartTag w:uri="urn:schemas-microsoft-com:office:smarttags" w:element="PersonName">
              <w:smartTagPr>
                <w:attr w:name="ProductID" w:val="Cercle universitaire"/>
              </w:smartTagPr>
              <w:r>
                <w:rPr>
                  <w:rFonts w:ascii="Arial" w:hAnsi="Arial" w:cs="Arial"/>
                  <w:b/>
                  <w:bCs/>
                  <w:iCs/>
                  <w:color w:val="333399"/>
                  <w:sz w:val="12"/>
                  <w:szCs w:val="12"/>
                </w:rPr>
                <w:t>Cercle universitaire</w:t>
              </w:r>
            </w:smartTag>
          </w:p>
          <w:p w:rsidR="00726BEC" w:rsidRDefault="00726BEC">
            <w:pPr>
              <w:jc w:val="center"/>
              <w:rPr>
                <w:sz w:val="19"/>
                <w:szCs w:val="19"/>
              </w:rPr>
            </w:pPr>
            <w:r>
              <w:rPr>
                <w:rFonts w:ascii="Arial" w:hAnsi="Arial" w:cs="Arial"/>
                <w:b/>
                <w:bCs/>
                <w:iCs/>
                <w:color w:val="333399"/>
                <w:sz w:val="12"/>
                <w:szCs w:val="12"/>
              </w:rPr>
              <w:t>L’Union des étudiants catholiques de Liège, a.s.b.l.</w:t>
            </w:r>
          </w:p>
        </w:tc>
        <w:tc>
          <w:tcPr>
            <w:tcW w:w="2526" w:type="pct"/>
          </w:tcPr>
          <w:p w:rsidR="00726BEC" w:rsidRDefault="00726BEC">
            <w:pPr>
              <w:rPr>
                <w:b/>
                <w:bCs/>
                <w:smallCaps/>
                <w:sz w:val="12"/>
                <w:szCs w:val="12"/>
              </w:rPr>
            </w:pPr>
          </w:p>
          <w:p w:rsidR="00726BEC" w:rsidRDefault="00726BEC">
            <w:pPr>
              <w:jc w:val="center"/>
              <w:rPr>
                <w:b/>
                <w:bCs/>
                <w:smallCaps/>
                <w:sz w:val="19"/>
                <w:szCs w:val="19"/>
              </w:rPr>
            </w:pPr>
            <w:r>
              <w:rPr>
                <w:b/>
                <w:smallCaps/>
                <w:noProof/>
                <w:sz w:val="19"/>
                <w:szCs w:val="19"/>
                <w:lang w:eastAsia="fr-BE"/>
              </w:rPr>
              <w:drawing>
                <wp:inline distT="0" distB="0" distL="0" distR="0">
                  <wp:extent cx="1717040" cy="5600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040" cy="560070"/>
                          </a:xfrm>
                          <a:prstGeom prst="rect">
                            <a:avLst/>
                          </a:prstGeom>
                          <a:noFill/>
                          <a:ln>
                            <a:noFill/>
                          </a:ln>
                        </pic:spPr>
                      </pic:pic>
                    </a:graphicData>
                  </a:graphic>
                </wp:inline>
              </w:drawing>
            </w:r>
          </w:p>
          <w:p w:rsidR="00726BEC" w:rsidRDefault="00726BEC">
            <w:pPr>
              <w:jc w:val="center"/>
              <w:rPr>
                <w:b/>
                <w:bCs/>
                <w:smallCaps/>
                <w:sz w:val="12"/>
                <w:szCs w:val="12"/>
              </w:rPr>
            </w:pPr>
          </w:p>
          <w:p w:rsidR="00726BEC" w:rsidRDefault="00726BEC">
            <w:pPr>
              <w:jc w:val="center"/>
              <w:rPr>
                <w:sz w:val="12"/>
                <w:szCs w:val="12"/>
              </w:rPr>
            </w:pPr>
            <w:r>
              <w:rPr>
                <w:rFonts w:ascii="Arial Rounded MT Bold" w:hAnsi="Arial Rounded MT Bold"/>
                <w:b/>
                <w:bCs/>
                <w:i/>
                <w:iCs/>
                <w:smallCaps/>
                <w:color w:val="000080"/>
                <w:spacing w:val="20"/>
                <w:sz w:val="12"/>
                <w:szCs w:val="12"/>
              </w:rPr>
              <w:t>Groupe de réflexion</w:t>
            </w:r>
            <w:r>
              <w:rPr>
                <w:rFonts w:ascii="Arial Rounded MT Bold" w:hAnsi="Arial Rounded MT Bold"/>
                <w:b/>
                <w:bCs/>
                <w:i/>
                <w:iCs/>
                <w:sz w:val="12"/>
                <w:szCs w:val="12"/>
              </w:rPr>
              <w:t xml:space="preserve"> </w:t>
            </w:r>
            <w:r>
              <w:rPr>
                <w:rFonts w:ascii="Arial Rounded MT Bold" w:hAnsi="Arial Rounded MT Bold"/>
                <w:b/>
                <w:bCs/>
                <w:i/>
                <w:iCs/>
                <w:smallCaps/>
                <w:color w:val="000080"/>
                <w:spacing w:val="20"/>
                <w:sz w:val="12"/>
                <w:szCs w:val="12"/>
              </w:rPr>
              <w:t>sur l’éthique sociale</w:t>
            </w:r>
          </w:p>
        </w:tc>
      </w:tr>
    </w:tbl>
    <w:p w:rsidR="00726BEC" w:rsidRPr="00DA40F3" w:rsidRDefault="00726BEC" w:rsidP="00DA40F3">
      <w:pPr>
        <w:jc w:val="center"/>
        <w:rPr>
          <w:rFonts w:ascii="Arial" w:hAnsi="Arial" w:cs="Arial"/>
          <w:b/>
          <w:bCs/>
          <w:iCs/>
          <w:color w:val="333399"/>
          <w:sz w:val="12"/>
          <w:szCs w:val="12"/>
        </w:rPr>
      </w:pPr>
      <w:r w:rsidRPr="00DA40F3">
        <w:rPr>
          <w:rFonts w:ascii="Arial" w:hAnsi="Arial" w:cs="Arial"/>
          <w:b/>
          <w:bCs/>
          <w:iCs/>
          <w:color w:val="333399"/>
          <w:sz w:val="12"/>
          <w:szCs w:val="12"/>
        </w:rPr>
        <w:t>Ce cycle est organisé avec le concours du forum de conférences « Calpurnia »</w:t>
      </w:r>
    </w:p>
    <w:p w:rsidR="00FE5290" w:rsidRPr="00FE5290" w:rsidRDefault="00FE5290" w:rsidP="00726BEC">
      <w:pPr>
        <w:spacing w:before="480"/>
        <w:jc w:val="center"/>
        <w:rPr>
          <w:iCs/>
          <w:caps/>
          <w:sz w:val="28"/>
          <w:szCs w:val="52"/>
          <w:u w:val="single"/>
        </w:rPr>
      </w:pPr>
      <w:r w:rsidRPr="00FE5290">
        <w:rPr>
          <w:sz w:val="32"/>
          <w:szCs w:val="32"/>
          <w:u w:val="single"/>
        </w:rPr>
        <w:t>Introduction</w:t>
      </w:r>
    </w:p>
    <w:p w:rsidR="00726BEC" w:rsidRDefault="00726BEC" w:rsidP="00FE5290">
      <w:pPr>
        <w:pBdr>
          <w:top w:val="single" w:sz="4" w:space="1" w:color="auto"/>
          <w:left w:val="single" w:sz="4" w:space="4" w:color="auto"/>
          <w:bottom w:val="single" w:sz="4" w:space="1" w:color="auto"/>
          <w:right w:val="single" w:sz="4" w:space="4" w:color="auto"/>
        </w:pBdr>
        <w:spacing w:before="480"/>
        <w:jc w:val="center"/>
      </w:pPr>
      <w:r>
        <w:rPr>
          <w:b/>
          <w:iCs/>
          <w:caps/>
          <w:sz w:val="28"/>
          <w:szCs w:val="52"/>
          <w:u w:val="single"/>
        </w:rPr>
        <w:t>Neutralité ou Pluralisme</w:t>
      </w:r>
      <w:r>
        <w:rPr>
          <w:b/>
          <w:iCs/>
          <w:caps/>
          <w:sz w:val="28"/>
          <w:szCs w:val="52"/>
          <w:u w:val="single"/>
        </w:rPr>
        <w:br/>
      </w:r>
      <w:r>
        <w:t>Dialogue entre Religions et Philosophies non confessionnelles</w:t>
      </w:r>
    </w:p>
    <w:p w:rsidR="00726BEC" w:rsidRDefault="00726BEC" w:rsidP="00FE5290">
      <w:pPr>
        <w:pBdr>
          <w:top w:val="single" w:sz="4" w:space="1" w:color="auto"/>
          <w:left w:val="single" w:sz="4" w:space="4" w:color="auto"/>
          <w:bottom w:val="single" w:sz="4" w:space="1" w:color="auto"/>
          <w:right w:val="single" w:sz="4" w:space="4" w:color="auto"/>
        </w:pBdr>
      </w:pPr>
    </w:p>
    <w:p w:rsidR="00726BEC" w:rsidRDefault="00726BEC" w:rsidP="00FE5290">
      <w:pPr>
        <w:pBdr>
          <w:top w:val="single" w:sz="4" w:space="1" w:color="auto"/>
          <w:left w:val="single" w:sz="4" w:space="4" w:color="auto"/>
          <w:bottom w:val="single" w:sz="4" w:space="1" w:color="auto"/>
          <w:right w:val="single" w:sz="4" w:space="4" w:color="auto"/>
        </w:pBdr>
        <w:jc w:val="center"/>
        <w:rPr>
          <w:i/>
          <w:szCs w:val="12"/>
        </w:rPr>
      </w:pPr>
    </w:p>
    <w:p w:rsidR="00726BEC" w:rsidRDefault="00846104" w:rsidP="00FE5290">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rFonts w:ascii="Arial" w:hAnsi="Arial" w:cs="Arial"/>
          <w:b/>
          <w:bCs/>
          <w:sz w:val="18"/>
          <w:szCs w:val="18"/>
        </w:rPr>
      </w:pPr>
      <w:r>
        <w:rPr>
          <w:rFonts w:ascii="Arial" w:hAnsi="Arial" w:cs="Arial"/>
          <w:b/>
          <w:bCs/>
          <w:sz w:val="18"/>
          <w:szCs w:val="18"/>
        </w:rPr>
        <w:t>Mardi 28 février 2012</w:t>
      </w:r>
    </w:p>
    <w:p w:rsidR="00726BEC" w:rsidRDefault="00726BEC" w:rsidP="00FE5290">
      <w:pPr>
        <w:pBdr>
          <w:top w:val="single" w:sz="4" w:space="1" w:color="auto"/>
          <w:left w:val="single" w:sz="4" w:space="4" w:color="auto"/>
          <w:bottom w:val="single" w:sz="4" w:space="1" w:color="auto"/>
          <w:right w:val="single" w:sz="4" w:space="4" w:color="auto"/>
        </w:pBdr>
        <w:tabs>
          <w:tab w:val="left" w:pos="707"/>
          <w:tab w:val="left" w:pos="1124"/>
          <w:tab w:val="left" w:pos="2221"/>
        </w:tabs>
        <w:rPr>
          <w:rFonts w:ascii="Arial" w:hAnsi="Arial" w:cs="Arial"/>
          <w:b/>
          <w:bCs/>
          <w:sz w:val="18"/>
          <w:szCs w:val="18"/>
        </w:rPr>
      </w:pPr>
    </w:p>
    <w:p w:rsidR="00726BEC" w:rsidRDefault="00726BEC" w:rsidP="00FE5290">
      <w:pPr>
        <w:pBdr>
          <w:top w:val="single" w:sz="4" w:space="1" w:color="auto"/>
          <w:left w:val="single" w:sz="4" w:space="4" w:color="auto"/>
          <w:bottom w:val="single" w:sz="4" w:space="1" w:color="auto"/>
          <w:right w:val="single" w:sz="4" w:space="4" w:color="auto"/>
        </w:pBdr>
        <w:shd w:val="clear" w:color="auto" w:fill="FFFFFF"/>
        <w:spacing w:before="210" w:after="210"/>
        <w:jc w:val="center"/>
        <w:rPr>
          <w:b/>
          <w:sz w:val="52"/>
          <w:szCs w:val="52"/>
        </w:rPr>
      </w:pPr>
      <w:r>
        <w:rPr>
          <w:b/>
          <w:sz w:val="52"/>
          <w:szCs w:val="52"/>
        </w:rPr>
        <w:t>LA LAÏCITÉ DANS LE CADRE DE L’UNION EUROPÉENNE</w:t>
      </w:r>
    </w:p>
    <w:p w:rsidR="00726BEC" w:rsidRDefault="00726BEC" w:rsidP="00FE5290">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120" w:after="120"/>
        <w:jc w:val="center"/>
        <w:rPr>
          <w:b/>
          <w:sz w:val="28"/>
          <w:szCs w:val="28"/>
        </w:rPr>
      </w:pPr>
      <w:r>
        <w:rPr>
          <w:b/>
          <w:sz w:val="28"/>
          <w:szCs w:val="28"/>
        </w:rPr>
        <w:t>Par</w:t>
      </w:r>
    </w:p>
    <w:p w:rsidR="00726BEC" w:rsidRPr="00B01648" w:rsidRDefault="00726BEC" w:rsidP="00FE5290">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b/>
          <w:i/>
          <w:iCs/>
          <w:sz w:val="36"/>
          <w:szCs w:val="36"/>
        </w:rPr>
      </w:pPr>
      <w:bookmarkStart w:id="0" w:name="_GoBack"/>
      <w:r w:rsidRPr="00B01648">
        <w:rPr>
          <w:b/>
          <w:i/>
          <w:iCs/>
          <w:sz w:val="36"/>
          <w:szCs w:val="36"/>
        </w:rPr>
        <w:t xml:space="preserve">Mgr Piotr MAZURKIEWICZ  </w:t>
      </w:r>
      <w:bookmarkEnd w:id="0"/>
    </w:p>
    <w:p w:rsidR="00726BEC" w:rsidRDefault="00726BEC" w:rsidP="00FE5290">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b/>
          <w:iCs/>
          <w:sz w:val="28"/>
          <w:szCs w:val="28"/>
        </w:rPr>
      </w:pPr>
    </w:p>
    <w:p w:rsidR="00726BEC" w:rsidRDefault="00726BEC" w:rsidP="00FE5290">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rFonts w:ascii="Arial" w:hAnsi="Arial" w:cs="Arial"/>
          <w:bCs/>
          <w:i/>
          <w:sz w:val="22"/>
          <w:szCs w:val="22"/>
          <w:lang w:val="fr-FR"/>
        </w:rPr>
      </w:pPr>
      <w:r>
        <w:rPr>
          <w:rFonts w:ascii="Arial" w:hAnsi="Arial" w:cs="Arial"/>
          <w:iCs/>
          <w:sz w:val="22"/>
          <w:szCs w:val="22"/>
        </w:rPr>
        <w:t>Secrétaire général de la COMECE</w:t>
      </w:r>
      <w:r>
        <w:rPr>
          <w:rFonts w:ascii="Arial" w:hAnsi="Arial" w:cs="Arial"/>
          <w:iCs/>
          <w:sz w:val="22"/>
          <w:szCs w:val="22"/>
        </w:rPr>
        <w:br/>
      </w:r>
      <w:r>
        <w:rPr>
          <w:rFonts w:ascii="Arial" w:hAnsi="Arial" w:cs="Arial"/>
          <w:i/>
          <w:iCs/>
          <w:sz w:val="22"/>
          <w:szCs w:val="22"/>
        </w:rPr>
        <w:t xml:space="preserve"> (</w:t>
      </w:r>
      <w:r>
        <w:rPr>
          <w:rFonts w:ascii="Arial" w:hAnsi="Arial" w:cs="Arial"/>
          <w:bCs/>
          <w:kern w:val="36"/>
          <w:sz w:val="22"/>
          <w:szCs w:val="22"/>
        </w:rPr>
        <w:t>Commission des conférences épiscopales de la Communauté Européenne)</w:t>
      </w:r>
      <w:r>
        <w:rPr>
          <w:rFonts w:ascii="Arial" w:hAnsi="Arial" w:cs="Arial"/>
          <w:bCs/>
          <w:i/>
          <w:sz w:val="22"/>
          <w:szCs w:val="22"/>
        </w:rPr>
        <w:br/>
      </w:r>
    </w:p>
    <w:p w:rsidR="00726BEC" w:rsidRDefault="00726BEC" w:rsidP="00FE5290">
      <w:pPr>
        <w:jc w:val="center"/>
        <w:rPr>
          <w:bCs/>
        </w:rPr>
      </w:pPr>
    </w:p>
    <w:p w:rsidR="00B51E4D" w:rsidRPr="00B51E4D" w:rsidRDefault="00B51E4D" w:rsidP="005A2E4A">
      <w:pPr>
        <w:shd w:val="clear" w:color="auto" w:fill="FFFFFF"/>
        <w:rPr>
          <w:rFonts w:ascii="Arial" w:hAnsi="Arial" w:cs="Arial"/>
          <w:iCs/>
          <w:sz w:val="22"/>
          <w:szCs w:val="22"/>
        </w:rPr>
      </w:pPr>
    </w:p>
    <w:p w:rsidR="00B51E4D" w:rsidRPr="00B51E4D" w:rsidRDefault="00B51E4D" w:rsidP="005A2E4A">
      <w:pPr>
        <w:shd w:val="clear" w:color="auto" w:fill="FFFFFF"/>
        <w:rPr>
          <w:rFonts w:ascii="Arial" w:hAnsi="Arial" w:cs="Arial"/>
          <w:iCs/>
          <w:sz w:val="22"/>
          <w:szCs w:val="22"/>
        </w:rPr>
      </w:pPr>
      <w:r w:rsidRPr="00B51E4D">
        <w:rPr>
          <w:rFonts w:ascii="Arial" w:hAnsi="Arial" w:cs="Arial"/>
          <w:iCs/>
          <w:sz w:val="22"/>
          <w:szCs w:val="22"/>
        </w:rPr>
        <w:t>Chers amis</w:t>
      </w:r>
    </w:p>
    <w:p w:rsidR="00B51E4D" w:rsidRPr="00B51E4D" w:rsidRDefault="00B51E4D" w:rsidP="005A2E4A">
      <w:pPr>
        <w:shd w:val="clear" w:color="auto" w:fill="FFFFFF"/>
        <w:rPr>
          <w:rFonts w:ascii="Arial" w:hAnsi="Arial" w:cs="Arial"/>
          <w:iCs/>
          <w:sz w:val="22"/>
          <w:szCs w:val="22"/>
        </w:rPr>
      </w:pPr>
    </w:p>
    <w:p w:rsidR="00B51E4D" w:rsidRDefault="00B51E4D" w:rsidP="001F17D0">
      <w:pPr>
        <w:shd w:val="clear" w:color="auto" w:fill="FFFFFF"/>
        <w:spacing w:before="120" w:after="120"/>
        <w:rPr>
          <w:rFonts w:ascii="Arial" w:hAnsi="Arial" w:cs="Arial"/>
          <w:iCs/>
          <w:sz w:val="22"/>
          <w:szCs w:val="22"/>
        </w:rPr>
      </w:pPr>
      <w:r>
        <w:rPr>
          <w:rFonts w:ascii="Arial" w:hAnsi="Arial" w:cs="Arial"/>
          <w:iCs/>
          <w:sz w:val="22"/>
          <w:szCs w:val="22"/>
        </w:rPr>
        <w:t>Je donne à tous la bienvenue de la part des trois organisateurs de nos réunions et je vous remercie les uns pour leur fidélité et d’autres pour découvrir le sens de nos conférences.</w:t>
      </w:r>
    </w:p>
    <w:p w:rsidR="00B51E4D" w:rsidRDefault="00B51E4D" w:rsidP="001F17D0">
      <w:pPr>
        <w:shd w:val="clear" w:color="auto" w:fill="FFFFFF"/>
        <w:spacing w:before="120" w:after="120"/>
        <w:rPr>
          <w:rFonts w:ascii="Arial" w:hAnsi="Arial" w:cs="Arial"/>
          <w:iCs/>
          <w:sz w:val="22"/>
          <w:szCs w:val="22"/>
        </w:rPr>
      </w:pPr>
      <w:r>
        <w:rPr>
          <w:rFonts w:ascii="Arial" w:hAnsi="Arial" w:cs="Arial"/>
          <w:iCs/>
          <w:sz w:val="22"/>
          <w:szCs w:val="22"/>
        </w:rPr>
        <w:t>Je salue la présence entre nous de l’évêque de Liège, Mgr Jousten</w:t>
      </w:r>
      <w:r w:rsidR="00E57F24">
        <w:rPr>
          <w:rFonts w:ascii="Arial" w:hAnsi="Arial" w:cs="Arial"/>
          <w:iCs/>
          <w:sz w:val="22"/>
          <w:szCs w:val="22"/>
        </w:rPr>
        <w:t xml:space="preserve"> et de la sénatrice Madame Vanessa Matz.</w:t>
      </w:r>
    </w:p>
    <w:p w:rsidR="001F17D0" w:rsidRDefault="001F17D0" w:rsidP="001F17D0">
      <w:pPr>
        <w:tabs>
          <w:tab w:val="left" w:pos="707"/>
          <w:tab w:val="left" w:pos="1124"/>
          <w:tab w:val="left" w:pos="2221"/>
        </w:tabs>
        <w:spacing w:before="120" w:after="120"/>
        <w:rPr>
          <w:rFonts w:ascii="Arial" w:hAnsi="Arial" w:cs="Arial"/>
          <w:bCs/>
          <w:i/>
          <w:sz w:val="22"/>
          <w:szCs w:val="22"/>
          <w:lang w:val="fr-FR"/>
        </w:rPr>
      </w:pPr>
      <w:r>
        <w:rPr>
          <w:rFonts w:ascii="Arial" w:hAnsi="Arial" w:cs="Arial"/>
          <w:iCs/>
          <w:sz w:val="22"/>
          <w:szCs w:val="22"/>
        </w:rPr>
        <w:t xml:space="preserve">Bien de reconnaissance à Mgr Piotr </w:t>
      </w:r>
      <w:r w:rsidRPr="001F17D0">
        <w:rPr>
          <w:rFonts w:ascii="Arial" w:hAnsi="Arial" w:cs="Arial"/>
          <w:iCs/>
          <w:sz w:val="22"/>
          <w:szCs w:val="22"/>
        </w:rPr>
        <w:t>Mazurkiewicz</w:t>
      </w:r>
      <w:r>
        <w:rPr>
          <w:rFonts w:ascii="Arial" w:hAnsi="Arial" w:cs="Arial"/>
          <w:iCs/>
          <w:sz w:val="22"/>
          <w:szCs w:val="22"/>
        </w:rPr>
        <w:t>, qui nous fait l’honneur de prononcer cette conférence, Secrétaire général de la COMECE</w:t>
      </w:r>
      <w:r>
        <w:rPr>
          <w:rFonts w:ascii="Arial" w:hAnsi="Arial" w:cs="Arial"/>
          <w:i/>
          <w:iCs/>
          <w:sz w:val="22"/>
          <w:szCs w:val="22"/>
        </w:rPr>
        <w:t xml:space="preserve"> (</w:t>
      </w:r>
      <w:r>
        <w:rPr>
          <w:rFonts w:ascii="Arial" w:hAnsi="Arial" w:cs="Arial"/>
          <w:bCs/>
          <w:kern w:val="36"/>
          <w:sz w:val="22"/>
          <w:szCs w:val="22"/>
        </w:rPr>
        <w:t>Commission des conférences épiscopales de la Communauté Européenne).</w:t>
      </w:r>
    </w:p>
    <w:p w:rsidR="005A2E4A" w:rsidRPr="00B51E4D" w:rsidRDefault="005A2E4A" w:rsidP="005A2E4A">
      <w:pPr>
        <w:shd w:val="clear" w:color="auto" w:fill="FFFFFF"/>
        <w:rPr>
          <w:rFonts w:ascii="Arial" w:hAnsi="Arial" w:cs="Arial"/>
          <w:iCs/>
          <w:sz w:val="22"/>
          <w:szCs w:val="22"/>
        </w:rPr>
      </w:pPr>
    </w:p>
    <w:p w:rsidR="005C63B4" w:rsidRDefault="001F17D0" w:rsidP="005A2E4A">
      <w:pPr>
        <w:shd w:val="clear" w:color="auto" w:fill="FFFFFF"/>
        <w:spacing w:after="288"/>
        <w:jc w:val="both"/>
        <w:rPr>
          <w:rFonts w:ascii="Arial" w:hAnsi="Arial" w:cs="Arial"/>
          <w:iCs/>
          <w:sz w:val="22"/>
          <w:szCs w:val="22"/>
        </w:rPr>
      </w:pPr>
      <w:r w:rsidRPr="00B51E4D">
        <w:rPr>
          <w:rFonts w:ascii="Arial" w:hAnsi="Arial" w:cs="Arial"/>
          <w:iCs/>
          <w:sz w:val="22"/>
          <w:szCs w:val="22"/>
        </w:rPr>
        <w:t xml:space="preserve">Piotr Mazurkiewicz </w:t>
      </w:r>
      <w:r w:rsidR="005A2E4A" w:rsidRPr="00B51E4D">
        <w:rPr>
          <w:rFonts w:ascii="Arial" w:hAnsi="Arial" w:cs="Arial"/>
          <w:iCs/>
          <w:sz w:val="22"/>
          <w:szCs w:val="22"/>
        </w:rPr>
        <w:t xml:space="preserve">est </w:t>
      </w:r>
      <w:hyperlink r:id="rId7" w:history="1">
        <w:r w:rsidR="005A2E4A" w:rsidRPr="00B51E4D">
          <w:rPr>
            <w:iCs/>
          </w:rPr>
          <w:t>prêtre</w:t>
        </w:r>
      </w:hyperlink>
      <w:r w:rsidR="005A2E4A" w:rsidRPr="00B51E4D">
        <w:rPr>
          <w:rFonts w:ascii="Arial" w:hAnsi="Arial" w:cs="Arial"/>
          <w:iCs/>
          <w:sz w:val="22"/>
          <w:szCs w:val="22"/>
        </w:rPr>
        <w:t xml:space="preserve"> de l’archidiocèse de Varsovie (Pologne) et spécialiste des questions européennes, de philosophie politique, de la doctrine sociale de l’Eglise et d’éthique politique et sociale</w:t>
      </w:r>
      <w:r w:rsidR="00EB7E79">
        <w:rPr>
          <w:rFonts w:ascii="Arial" w:hAnsi="Arial" w:cs="Arial"/>
          <w:iCs/>
          <w:sz w:val="22"/>
          <w:szCs w:val="22"/>
        </w:rPr>
        <w:t>.</w:t>
      </w:r>
    </w:p>
    <w:p w:rsidR="00EB7E79" w:rsidRPr="00EB7E79" w:rsidRDefault="00EB7E79" w:rsidP="00EB7E79">
      <w:pPr>
        <w:shd w:val="clear" w:color="auto" w:fill="FFFFFF"/>
        <w:spacing w:after="288"/>
        <w:jc w:val="both"/>
        <w:rPr>
          <w:rFonts w:ascii="Arial" w:hAnsi="Arial" w:cs="Arial"/>
          <w:iCs/>
          <w:sz w:val="22"/>
          <w:szCs w:val="22"/>
        </w:rPr>
      </w:pPr>
      <w:r w:rsidRPr="00EB7E79">
        <w:rPr>
          <w:rFonts w:ascii="Arial" w:hAnsi="Arial" w:cs="Arial"/>
          <w:iCs/>
          <w:sz w:val="22"/>
          <w:szCs w:val="22"/>
        </w:rPr>
        <w:t xml:space="preserve">Monseigneur Piotr Mazurkiewicz est secrétaire général de la COMECE depuis 2008. Né en 1960, il a été ordonné prêtre en 1988 et incardiné dans l’archidiocèse de Varsovie. Il y est professeur à l'Université Cardinal Stefan Wyszynski (UKSW) où il occupe la Chaire d'Ethique politique et sociale du Département d'Etudes Historiques et sociales. Il est également membre du Conseil de la Recherche de l'Institut de Science politique de l'Académie des Sciences de Pologne, membre du Conseil d'Administration de la Société européenne de recherche en éthique « Societas Ethica ». </w:t>
      </w:r>
    </w:p>
    <w:p w:rsidR="00EB7E79" w:rsidRPr="00EB7E79" w:rsidRDefault="00EB7E79" w:rsidP="00EB7E79">
      <w:pPr>
        <w:shd w:val="clear" w:color="auto" w:fill="FFFFFF"/>
        <w:spacing w:after="288"/>
        <w:jc w:val="both"/>
        <w:rPr>
          <w:rFonts w:ascii="Arial" w:hAnsi="Arial" w:cs="Arial"/>
          <w:iCs/>
          <w:sz w:val="22"/>
          <w:szCs w:val="22"/>
        </w:rPr>
      </w:pPr>
      <w:r w:rsidRPr="00EB7E79">
        <w:rPr>
          <w:rFonts w:ascii="Arial" w:hAnsi="Arial" w:cs="Arial"/>
          <w:iCs/>
          <w:sz w:val="22"/>
          <w:szCs w:val="22"/>
        </w:rPr>
        <w:lastRenderedPageBreak/>
        <w:t xml:space="preserve">Le Père Mazurkiewicz est spécialiste des questions européennes, de philosophie politique, de la doctrine sociale de l'Eglise et d'éthique politique et sociale. En 1996, il a soutenu une thèse de Doctorat sur le thème «l'Eglise dans une société ouverte. Débat sur la présence de l'Eglise dans la société polonaise durant la période de transformation» au sein du Département des Etudes ecclésiastiques, historiques et sociales de l'Académie de théologie catholique de Varsovie. En 2002, il a soutenu sa thèse d'habilitation sur «l'Européanisation de l'Europe. L'identité culturelle de l'Europe dans le contexte du processus d'intégration» à l'Institut d'Etudes politiques de l'Académie des Sciences de Pologne. </w:t>
      </w:r>
    </w:p>
    <w:p w:rsidR="005C63B4" w:rsidRDefault="005A2E4A" w:rsidP="005A2E4A">
      <w:pPr>
        <w:shd w:val="clear" w:color="auto" w:fill="FFFFFF"/>
        <w:spacing w:after="288"/>
        <w:jc w:val="both"/>
        <w:rPr>
          <w:rFonts w:ascii="Arial" w:hAnsi="Arial" w:cs="Arial"/>
          <w:iCs/>
          <w:sz w:val="22"/>
          <w:szCs w:val="22"/>
        </w:rPr>
      </w:pPr>
      <w:r w:rsidRPr="00B51E4D">
        <w:rPr>
          <w:rFonts w:ascii="Arial" w:hAnsi="Arial" w:cs="Arial"/>
          <w:iCs/>
          <w:sz w:val="22"/>
          <w:szCs w:val="22"/>
        </w:rPr>
        <w:t xml:space="preserve">La COMECE est la Commission des </w:t>
      </w:r>
      <w:hyperlink r:id="rId8" w:history="1">
        <w:r w:rsidRPr="005C63B4">
          <w:rPr>
            <w:rFonts w:ascii="Arial" w:hAnsi="Arial" w:cs="Arial"/>
            <w:iCs/>
            <w:sz w:val="22"/>
            <w:szCs w:val="22"/>
          </w:rPr>
          <w:t>Episcopats</w:t>
        </w:r>
      </w:hyperlink>
      <w:r w:rsidRPr="00B51E4D">
        <w:rPr>
          <w:rFonts w:ascii="Arial" w:hAnsi="Arial" w:cs="Arial"/>
          <w:iCs/>
          <w:sz w:val="22"/>
          <w:szCs w:val="22"/>
        </w:rPr>
        <w:t xml:space="preserve"> de l</w:t>
      </w:r>
      <w:r w:rsidR="005C63B4">
        <w:rPr>
          <w:rFonts w:ascii="Arial" w:hAnsi="Arial" w:cs="Arial"/>
          <w:iCs/>
          <w:sz w:val="22"/>
          <w:szCs w:val="22"/>
        </w:rPr>
        <w:t>a Communauté européenne. Cette C</w:t>
      </w:r>
      <w:r w:rsidRPr="00B51E4D">
        <w:rPr>
          <w:rFonts w:ascii="Arial" w:hAnsi="Arial" w:cs="Arial"/>
          <w:iCs/>
          <w:sz w:val="22"/>
          <w:szCs w:val="22"/>
        </w:rPr>
        <w:t xml:space="preserve">ommission est composée </w:t>
      </w:r>
      <w:r w:rsidR="005C63B4" w:rsidRPr="00B51E4D">
        <w:rPr>
          <w:rFonts w:ascii="Arial" w:hAnsi="Arial" w:cs="Arial"/>
          <w:iCs/>
          <w:sz w:val="22"/>
          <w:szCs w:val="22"/>
        </w:rPr>
        <w:t>d’</w:t>
      </w:r>
      <w:hyperlink r:id="rId9" w:history="1">
        <w:r w:rsidR="005C63B4">
          <w:rPr>
            <w:rFonts w:ascii="Arial" w:hAnsi="Arial" w:cs="Arial"/>
            <w:iCs/>
            <w:sz w:val="22"/>
            <w:szCs w:val="22"/>
          </w:rPr>
          <w:t>é</w:t>
        </w:r>
        <w:r w:rsidRPr="005C63B4">
          <w:rPr>
            <w:rFonts w:ascii="Arial" w:hAnsi="Arial" w:cs="Arial"/>
            <w:iCs/>
            <w:sz w:val="22"/>
            <w:szCs w:val="22"/>
          </w:rPr>
          <w:t>vêques</w:t>
        </w:r>
      </w:hyperlink>
      <w:r w:rsidR="005C63B4">
        <w:rPr>
          <w:rFonts w:ascii="Arial" w:hAnsi="Arial" w:cs="Arial"/>
          <w:iCs/>
          <w:sz w:val="22"/>
          <w:szCs w:val="22"/>
        </w:rPr>
        <w:t xml:space="preserve"> délégués par les C</w:t>
      </w:r>
      <w:r w:rsidRPr="00B51E4D">
        <w:rPr>
          <w:rFonts w:ascii="Arial" w:hAnsi="Arial" w:cs="Arial"/>
          <w:iCs/>
          <w:sz w:val="22"/>
          <w:szCs w:val="22"/>
        </w:rPr>
        <w:t xml:space="preserve">onférences épiscopales dans les Etats membres de l'Union européenne et possède un Secrétariat permanent à Bruxelles. </w:t>
      </w:r>
    </w:p>
    <w:p w:rsidR="005C63B4" w:rsidRDefault="005A2E4A" w:rsidP="005A2E4A">
      <w:pPr>
        <w:shd w:val="clear" w:color="auto" w:fill="FFFFFF"/>
        <w:spacing w:after="288"/>
        <w:jc w:val="both"/>
        <w:rPr>
          <w:rFonts w:ascii="Arial" w:hAnsi="Arial" w:cs="Arial"/>
          <w:iCs/>
          <w:sz w:val="22"/>
          <w:szCs w:val="22"/>
        </w:rPr>
      </w:pPr>
      <w:r w:rsidRPr="00B51E4D">
        <w:rPr>
          <w:rFonts w:ascii="Arial" w:hAnsi="Arial" w:cs="Arial"/>
          <w:iCs/>
          <w:sz w:val="22"/>
          <w:szCs w:val="22"/>
        </w:rPr>
        <w:t xml:space="preserve">Elle a pour objectif </w:t>
      </w:r>
    </w:p>
    <w:p w:rsidR="005C63B4" w:rsidRPr="00EB7E79" w:rsidRDefault="005A2E4A" w:rsidP="00EB7E79">
      <w:pPr>
        <w:pStyle w:val="Paragraphedeliste"/>
        <w:numPr>
          <w:ilvl w:val="0"/>
          <w:numId w:val="3"/>
        </w:numPr>
        <w:shd w:val="clear" w:color="auto" w:fill="FFFFFF"/>
        <w:jc w:val="both"/>
        <w:rPr>
          <w:rFonts w:ascii="Arial" w:hAnsi="Arial" w:cs="Arial"/>
          <w:iCs/>
          <w:sz w:val="22"/>
          <w:szCs w:val="22"/>
        </w:rPr>
      </w:pPr>
      <w:r w:rsidRPr="00EB7E79">
        <w:rPr>
          <w:rFonts w:ascii="Arial" w:hAnsi="Arial" w:cs="Arial"/>
          <w:iCs/>
          <w:sz w:val="22"/>
          <w:szCs w:val="22"/>
        </w:rPr>
        <w:t xml:space="preserve">d'accompagner et d'analyser le processus politique de l'Union </w:t>
      </w:r>
      <w:r w:rsidR="005C63B4" w:rsidRPr="00EB7E79">
        <w:rPr>
          <w:rFonts w:ascii="Arial" w:hAnsi="Arial" w:cs="Arial"/>
          <w:iCs/>
          <w:sz w:val="22"/>
          <w:szCs w:val="22"/>
        </w:rPr>
        <w:t>européenne ;</w:t>
      </w:r>
      <w:r w:rsidRPr="00EB7E79">
        <w:rPr>
          <w:rFonts w:ascii="Arial" w:hAnsi="Arial" w:cs="Arial"/>
          <w:iCs/>
          <w:sz w:val="22"/>
          <w:szCs w:val="22"/>
        </w:rPr>
        <w:t xml:space="preserve"> </w:t>
      </w:r>
    </w:p>
    <w:p w:rsidR="005C63B4" w:rsidRPr="00EB7E79" w:rsidRDefault="005A2E4A" w:rsidP="00EB7E79">
      <w:pPr>
        <w:pStyle w:val="Paragraphedeliste"/>
        <w:numPr>
          <w:ilvl w:val="0"/>
          <w:numId w:val="3"/>
        </w:numPr>
        <w:shd w:val="clear" w:color="auto" w:fill="FFFFFF"/>
        <w:jc w:val="both"/>
        <w:rPr>
          <w:rFonts w:ascii="Arial" w:hAnsi="Arial" w:cs="Arial"/>
          <w:iCs/>
          <w:sz w:val="22"/>
          <w:szCs w:val="22"/>
        </w:rPr>
      </w:pPr>
      <w:r w:rsidRPr="00EB7E79">
        <w:rPr>
          <w:rFonts w:ascii="Arial" w:hAnsi="Arial" w:cs="Arial"/>
          <w:iCs/>
          <w:sz w:val="22"/>
          <w:szCs w:val="22"/>
        </w:rPr>
        <w:t xml:space="preserve">d'informer et de conscientiser l'Eglise sur les développements de la législation et des politiques </w:t>
      </w:r>
      <w:r w:rsidR="005C63B4" w:rsidRPr="00EB7E79">
        <w:rPr>
          <w:rFonts w:ascii="Arial" w:hAnsi="Arial" w:cs="Arial"/>
          <w:iCs/>
          <w:sz w:val="22"/>
          <w:szCs w:val="22"/>
        </w:rPr>
        <w:t>européennes ;</w:t>
      </w:r>
      <w:r w:rsidRPr="00EB7E79">
        <w:rPr>
          <w:rFonts w:ascii="Arial" w:hAnsi="Arial" w:cs="Arial"/>
          <w:iCs/>
          <w:sz w:val="22"/>
          <w:szCs w:val="22"/>
        </w:rPr>
        <w:t xml:space="preserve"> </w:t>
      </w:r>
    </w:p>
    <w:p w:rsidR="005A2E4A" w:rsidRPr="00EB7E79" w:rsidRDefault="005A2E4A" w:rsidP="00EB7E79">
      <w:pPr>
        <w:pStyle w:val="Paragraphedeliste"/>
        <w:numPr>
          <w:ilvl w:val="0"/>
          <w:numId w:val="3"/>
        </w:numPr>
        <w:shd w:val="clear" w:color="auto" w:fill="FFFFFF"/>
        <w:jc w:val="both"/>
        <w:rPr>
          <w:rFonts w:ascii="Arial" w:hAnsi="Arial" w:cs="Arial"/>
          <w:iCs/>
          <w:sz w:val="22"/>
          <w:szCs w:val="22"/>
        </w:rPr>
      </w:pPr>
      <w:r w:rsidRPr="00EB7E79">
        <w:rPr>
          <w:rFonts w:ascii="Arial" w:hAnsi="Arial" w:cs="Arial"/>
          <w:iCs/>
          <w:sz w:val="22"/>
          <w:szCs w:val="22"/>
        </w:rPr>
        <w:t>d'encourager la réflexion, basée sur l'enseignement social de l'Eglise, sur les défis posés par la construction d'une Europe unie.</w:t>
      </w:r>
    </w:p>
    <w:p w:rsidR="00726BEC" w:rsidRDefault="00DC5A97" w:rsidP="00EB7E79">
      <w:pPr>
        <w:shd w:val="clear" w:color="auto" w:fill="FFFFFF"/>
        <w:spacing w:before="120" w:after="288"/>
        <w:jc w:val="both"/>
        <w:rPr>
          <w:rFonts w:ascii="Arial" w:hAnsi="Arial" w:cs="Arial"/>
          <w:iCs/>
          <w:sz w:val="22"/>
          <w:szCs w:val="22"/>
        </w:rPr>
      </w:pPr>
      <w:r>
        <w:rPr>
          <w:rFonts w:ascii="Arial" w:hAnsi="Arial" w:cs="Arial"/>
          <w:iCs/>
          <w:sz w:val="22"/>
          <w:szCs w:val="22"/>
        </w:rPr>
        <w:t xml:space="preserve">Le père Piotr nous fera découvrir comment les chrétiens s’affairent dans les </w:t>
      </w:r>
      <w:r w:rsidR="0084798F">
        <w:rPr>
          <w:rFonts w:ascii="Arial" w:hAnsi="Arial" w:cs="Arial"/>
          <w:iCs/>
          <w:sz w:val="22"/>
          <w:szCs w:val="22"/>
        </w:rPr>
        <w:t>Institutions européennes</w:t>
      </w:r>
      <w:r>
        <w:rPr>
          <w:rFonts w:ascii="Arial" w:hAnsi="Arial" w:cs="Arial"/>
          <w:iCs/>
          <w:sz w:val="22"/>
          <w:szCs w:val="22"/>
        </w:rPr>
        <w:t xml:space="preserve"> </w:t>
      </w:r>
      <w:r w:rsidR="0084798F">
        <w:rPr>
          <w:rFonts w:ascii="Arial" w:hAnsi="Arial" w:cs="Arial"/>
          <w:iCs/>
          <w:sz w:val="22"/>
          <w:szCs w:val="22"/>
        </w:rPr>
        <w:t>à faire</w:t>
      </w:r>
      <w:r>
        <w:rPr>
          <w:rFonts w:ascii="Arial" w:hAnsi="Arial" w:cs="Arial"/>
          <w:iCs/>
          <w:sz w:val="22"/>
          <w:szCs w:val="22"/>
        </w:rPr>
        <w:t xml:space="preserve"> mettre en pratique le bien commun des Etats et de</w:t>
      </w:r>
      <w:r w:rsidR="000E55A4">
        <w:rPr>
          <w:rFonts w:ascii="Arial" w:hAnsi="Arial" w:cs="Arial"/>
          <w:iCs/>
          <w:sz w:val="22"/>
          <w:szCs w:val="22"/>
        </w:rPr>
        <w:t xml:space="preserve"> </w:t>
      </w:r>
      <w:r>
        <w:rPr>
          <w:rFonts w:ascii="Arial" w:hAnsi="Arial" w:cs="Arial"/>
          <w:iCs/>
          <w:sz w:val="22"/>
          <w:szCs w:val="22"/>
        </w:rPr>
        <w:t>l’Union.</w:t>
      </w:r>
    </w:p>
    <w:p w:rsidR="000E55A4" w:rsidRDefault="000E55A4" w:rsidP="00EB7E79">
      <w:pPr>
        <w:shd w:val="clear" w:color="auto" w:fill="FFFFFF"/>
        <w:spacing w:after="288"/>
        <w:jc w:val="both"/>
        <w:rPr>
          <w:rFonts w:ascii="Arial" w:hAnsi="Arial" w:cs="Arial"/>
          <w:iCs/>
          <w:sz w:val="22"/>
          <w:szCs w:val="22"/>
        </w:rPr>
      </w:pPr>
    </w:p>
    <w:p w:rsidR="00EB7E79" w:rsidRDefault="00EB7E79" w:rsidP="00EB7E79">
      <w:pPr>
        <w:shd w:val="clear" w:color="auto" w:fill="FFFFFF"/>
        <w:spacing w:after="288"/>
        <w:jc w:val="both"/>
        <w:rPr>
          <w:rFonts w:ascii="Arial" w:hAnsi="Arial" w:cs="Arial"/>
          <w:iCs/>
          <w:sz w:val="22"/>
          <w:szCs w:val="22"/>
        </w:rPr>
      </w:pPr>
    </w:p>
    <w:p w:rsidR="00EB7E79" w:rsidRDefault="00EB7E79" w:rsidP="00EB7E79">
      <w:pPr>
        <w:spacing w:after="120"/>
        <w:ind w:left="360"/>
        <w:jc w:val="both"/>
        <w:rPr>
          <w:rFonts w:ascii="Arial" w:hAnsi="Arial" w:cs="Arial"/>
          <w:iCs/>
          <w:sz w:val="22"/>
          <w:szCs w:val="22"/>
        </w:rPr>
      </w:pPr>
    </w:p>
    <w:p w:rsidR="000E55A4" w:rsidRPr="00DC5A97" w:rsidRDefault="000E55A4" w:rsidP="000E55A4">
      <w:pPr>
        <w:ind w:left="360"/>
        <w:jc w:val="center"/>
        <w:rPr>
          <w:rFonts w:ascii="Arial" w:hAnsi="Arial" w:cs="Arial"/>
          <w:iCs/>
          <w:sz w:val="22"/>
          <w:szCs w:val="22"/>
        </w:rPr>
      </w:pPr>
      <w:proofErr w:type="gramStart"/>
      <w:r>
        <w:rPr>
          <w:rFonts w:ascii="Arial" w:hAnsi="Arial" w:cs="Arial"/>
          <w:iCs/>
          <w:sz w:val="22"/>
          <w:szCs w:val="22"/>
        </w:rPr>
        <w:t>oOo</w:t>
      </w:r>
      <w:proofErr w:type="gramEnd"/>
    </w:p>
    <w:sectPr w:rsidR="000E55A4" w:rsidRPr="00DC5A97" w:rsidSect="00EA0B2F">
      <w:pgSz w:w="11906" w:h="16838" w:code="9"/>
      <w:pgMar w:top="975" w:right="1418" w:bottom="81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7758"/>
    <w:multiLevelType w:val="hybridMultilevel"/>
    <w:tmpl w:val="BFD037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74122CC"/>
    <w:multiLevelType w:val="hybridMultilevel"/>
    <w:tmpl w:val="580402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AE64CCF"/>
    <w:multiLevelType w:val="hybridMultilevel"/>
    <w:tmpl w:val="B792E4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80"/>
    <w:rsid w:val="00015D20"/>
    <w:rsid w:val="00034CD2"/>
    <w:rsid w:val="00042945"/>
    <w:rsid w:val="00043453"/>
    <w:rsid w:val="0006373F"/>
    <w:rsid w:val="0006519C"/>
    <w:rsid w:val="00071326"/>
    <w:rsid w:val="00073B97"/>
    <w:rsid w:val="000C2F65"/>
    <w:rsid w:val="000C5E24"/>
    <w:rsid w:val="000D0AA3"/>
    <w:rsid w:val="000D5CAC"/>
    <w:rsid w:val="000E55A4"/>
    <w:rsid w:val="000F4870"/>
    <w:rsid w:val="00112B57"/>
    <w:rsid w:val="0013239C"/>
    <w:rsid w:val="001374B8"/>
    <w:rsid w:val="001733BB"/>
    <w:rsid w:val="001818E8"/>
    <w:rsid w:val="001A0BB8"/>
    <w:rsid w:val="001A24D4"/>
    <w:rsid w:val="001B0F1E"/>
    <w:rsid w:val="001B2C92"/>
    <w:rsid w:val="001D243C"/>
    <w:rsid w:val="001E60C5"/>
    <w:rsid w:val="001F17D0"/>
    <w:rsid w:val="00206CC8"/>
    <w:rsid w:val="00207E9C"/>
    <w:rsid w:val="00214B39"/>
    <w:rsid w:val="0022583E"/>
    <w:rsid w:val="00236065"/>
    <w:rsid w:val="0025365E"/>
    <w:rsid w:val="0025618E"/>
    <w:rsid w:val="002603A4"/>
    <w:rsid w:val="00276866"/>
    <w:rsid w:val="0028153B"/>
    <w:rsid w:val="002912E3"/>
    <w:rsid w:val="00297B4E"/>
    <w:rsid w:val="002B1AEB"/>
    <w:rsid w:val="002C3BBB"/>
    <w:rsid w:val="002C57BE"/>
    <w:rsid w:val="002D1B3C"/>
    <w:rsid w:val="002D7F78"/>
    <w:rsid w:val="002F0178"/>
    <w:rsid w:val="003005F3"/>
    <w:rsid w:val="00304A9B"/>
    <w:rsid w:val="00305AD0"/>
    <w:rsid w:val="00322DAA"/>
    <w:rsid w:val="00351CCD"/>
    <w:rsid w:val="003B03BB"/>
    <w:rsid w:val="003B494C"/>
    <w:rsid w:val="003C71DB"/>
    <w:rsid w:val="003E0598"/>
    <w:rsid w:val="003E2052"/>
    <w:rsid w:val="003F104D"/>
    <w:rsid w:val="00405CE5"/>
    <w:rsid w:val="0040797B"/>
    <w:rsid w:val="004135EC"/>
    <w:rsid w:val="0042206F"/>
    <w:rsid w:val="00435059"/>
    <w:rsid w:val="00446E80"/>
    <w:rsid w:val="00451293"/>
    <w:rsid w:val="00451B58"/>
    <w:rsid w:val="00482E53"/>
    <w:rsid w:val="00497B42"/>
    <w:rsid w:val="004B4C8F"/>
    <w:rsid w:val="004B589A"/>
    <w:rsid w:val="004C2E39"/>
    <w:rsid w:val="004C4FC5"/>
    <w:rsid w:val="004C57FC"/>
    <w:rsid w:val="004D1FB5"/>
    <w:rsid w:val="004D399E"/>
    <w:rsid w:val="004D5ED4"/>
    <w:rsid w:val="004F1DD5"/>
    <w:rsid w:val="00504259"/>
    <w:rsid w:val="0051275A"/>
    <w:rsid w:val="00516B57"/>
    <w:rsid w:val="005227FE"/>
    <w:rsid w:val="0052294A"/>
    <w:rsid w:val="00544CE3"/>
    <w:rsid w:val="005518EC"/>
    <w:rsid w:val="0055259D"/>
    <w:rsid w:val="005670FD"/>
    <w:rsid w:val="00582CA5"/>
    <w:rsid w:val="00593E00"/>
    <w:rsid w:val="0059608F"/>
    <w:rsid w:val="005A2E4A"/>
    <w:rsid w:val="005B659F"/>
    <w:rsid w:val="005C63B4"/>
    <w:rsid w:val="005C7E39"/>
    <w:rsid w:val="005D0606"/>
    <w:rsid w:val="005D1B2A"/>
    <w:rsid w:val="005D7483"/>
    <w:rsid w:val="005E2D48"/>
    <w:rsid w:val="005E5F92"/>
    <w:rsid w:val="00603DB3"/>
    <w:rsid w:val="00605160"/>
    <w:rsid w:val="006163FC"/>
    <w:rsid w:val="00620D7D"/>
    <w:rsid w:val="00625FC0"/>
    <w:rsid w:val="00642BE0"/>
    <w:rsid w:val="006458A6"/>
    <w:rsid w:val="00651212"/>
    <w:rsid w:val="0065453F"/>
    <w:rsid w:val="0067599A"/>
    <w:rsid w:val="006768BC"/>
    <w:rsid w:val="0069063F"/>
    <w:rsid w:val="00693A85"/>
    <w:rsid w:val="006A5B05"/>
    <w:rsid w:val="006A5BA7"/>
    <w:rsid w:val="006A5BFB"/>
    <w:rsid w:val="006A65FB"/>
    <w:rsid w:val="006B0F44"/>
    <w:rsid w:val="006C2ED1"/>
    <w:rsid w:val="006C3847"/>
    <w:rsid w:val="006D497E"/>
    <w:rsid w:val="006E1EFF"/>
    <w:rsid w:val="006E3CDC"/>
    <w:rsid w:val="006E4FE0"/>
    <w:rsid w:val="006F43A2"/>
    <w:rsid w:val="00711815"/>
    <w:rsid w:val="00712BDA"/>
    <w:rsid w:val="00713BF7"/>
    <w:rsid w:val="00726BEC"/>
    <w:rsid w:val="00726E78"/>
    <w:rsid w:val="00732133"/>
    <w:rsid w:val="00740F21"/>
    <w:rsid w:val="00745E3C"/>
    <w:rsid w:val="00746EE4"/>
    <w:rsid w:val="00747E21"/>
    <w:rsid w:val="0078581C"/>
    <w:rsid w:val="00785AAB"/>
    <w:rsid w:val="00796CAD"/>
    <w:rsid w:val="007A7B16"/>
    <w:rsid w:val="007B3766"/>
    <w:rsid w:val="007B3A87"/>
    <w:rsid w:val="007B49BA"/>
    <w:rsid w:val="007F3E22"/>
    <w:rsid w:val="007F6DFA"/>
    <w:rsid w:val="0082460A"/>
    <w:rsid w:val="00827181"/>
    <w:rsid w:val="00827E91"/>
    <w:rsid w:val="00834614"/>
    <w:rsid w:val="00846104"/>
    <w:rsid w:val="0084798F"/>
    <w:rsid w:val="00847E02"/>
    <w:rsid w:val="008612F7"/>
    <w:rsid w:val="00861EDF"/>
    <w:rsid w:val="008671BB"/>
    <w:rsid w:val="008718E8"/>
    <w:rsid w:val="00886D7E"/>
    <w:rsid w:val="008A316D"/>
    <w:rsid w:val="008A695C"/>
    <w:rsid w:val="008B6ED7"/>
    <w:rsid w:val="008D3731"/>
    <w:rsid w:val="008D766E"/>
    <w:rsid w:val="00903FC5"/>
    <w:rsid w:val="0090460A"/>
    <w:rsid w:val="009119CA"/>
    <w:rsid w:val="0091636C"/>
    <w:rsid w:val="0092262E"/>
    <w:rsid w:val="00930093"/>
    <w:rsid w:val="009357BC"/>
    <w:rsid w:val="0093678F"/>
    <w:rsid w:val="00944801"/>
    <w:rsid w:val="00944B35"/>
    <w:rsid w:val="00946B4D"/>
    <w:rsid w:val="00947AEF"/>
    <w:rsid w:val="00953038"/>
    <w:rsid w:val="009566BD"/>
    <w:rsid w:val="00957F9D"/>
    <w:rsid w:val="00963DC2"/>
    <w:rsid w:val="00963FC8"/>
    <w:rsid w:val="00984E0E"/>
    <w:rsid w:val="00994FAD"/>
    <w:rsid w:val="009961D1"/>
    <w:rsid w:val="00997BB0"/>
    <w:rsid w:val="009A0C0B"/>
    <w:rsid w:val="009A4F49"/>
    <w:rsid w:val="009B7465"/>
    <w:rsid w:val="009C2EF8"/>
    <w:rsid w:val="009C4945"/>
    <w:rsid w:val="009C7D82"/>
    <w:rsid w:val="009D5B79"/>
    <w:rsid w:val="009E1E83"/>
    <w:rsid w:val="009E7A15"/>
    <w:rsid w:val="00A00508"/>
    <w:rsid w:val="00A04D0D"/>
    <w:rsid w:val="00A14AB1"/>
    <w:rsid w:val="00A21403"/>
    <w:rsid w:val="00A365C3"/>
    <w:rsid w:val="00A474F7"/>
    <w:rsid w:val="00A51D2D"/>
    <w:rsid w:val="00A535B2"/>
    <w:rsid w:val="00A65ED8"/>
    <w:rsid w:val="00A66439"/>
    <w:rsid w:val="00A665EE"/>
    <w:rsid w:val="00A67A41"/>
    <w:rsid w:val="00A952C0"/>
    <w:rsid w:val="00AD04A0"/>
    <w:rsid w:val="00AD6D9D"/>
    <w:rsid w:val="00AD743B"/>
    <w:rsid w:val="00AE4EC3"/>
    <w:rsid w:val="00AE52A8"/>
    <w:rsid w:val="00AF7550"/>
    <w:rsid w:val="00AF7BB7"/>
    <w:rsid w:val="00B01648"/>
    <w:rsid w:val="00B1303D"/>
    <w:rsid w:val="00B14890"/>
    <w:rsid w:val="00B214EC"/>
    <w:rsid w:val="00B30DA7"/>
    <w:rsid w:val="00B335A1"/>
    <w:rsid w:val="00B51E4D"/>
    <w:rsid w:val="00B54472"/>
    <w:rsid w:val="00B62897"/>
    <w:rsid w:val="00B6433F"/>
    <w:rsid w:val="00B818A5"/>
    <w:rsid w:val="00B86333"/>
    <w:rsid w:val="00B96276"/>
    <w:rsid w:val="00BA588E"/>
    <w:rsid w:val="00BC5912"/>
    <w:rsid w:val="00BC5FEB"/>
    <w:rsid w:val="00BF731A"/>
    <w:rsid w:val="00C04C7B"/>
    <w:rsid w:val="00C17F95"/>
    <w:rsid w:val="00C22B5D"/>
    <w:rsid w:val="00C257CC"/>
    <w:rsid w:val="00C34CA1"/>
    <w:rsid w:val="00C379C1"/>
    <w:rsid w:val="00C804A6"/>
    <w:rsid w:val="00C94EB7"/>
    <w:rsid w:val="00CC2851"/>
    <w:rsid w:val="00CF2C68"/>
    <w:rsid w:val="00CF4DA1"/>
    <w:rsid w:val="00D101EF"/>
    <w:rsid w:val="00D1371D"/>
    <w:rsid w:val="00D20AC0"/>
    <w:rsid w:val="00D2215E"/>
    <w:rsid w:val="00D44FC7"/>
    <w:rsid w:val="00D500FE"/>
    <w:rsid w:val="00D72877"/>
    <w:rsid w:val="00D72D78"/>
    <w:rsid w:val="00D757B8"/>
    <w:rsid w:val="00D75C7D"/>
    <w:rsid w:val="00D865C0"/>
    <w:rsid w:val="00D968FB"/>
    <w:rsid w:val="00DA40F3"/>
    <w:rsid w:val="00DA52BF"/>
    <w:rsid w:val="00DB19F6"/>
    <w:rsid w:val="00DB7257"/>
    <w:rsid w:val="00DC1DF0"/>
    <w:rsid w:val="00DC5A97"/>
    <w:rsid w:val="00DD2301"/>
    <w:rsid w:val="00DD261C"/>
    <w:rsid w:val="00DD35A6"/>
    <w:rsid w:val="00DF2EEC"/>
    <w:rsid w:val="00E52EB1"/>
    <w:rsid w:val="00E554DF"/>
    <w:rsid w:val="00E56BEE"/>
    <w:rsid w:val="00E57F24"/>
    <w:rsid w:val="00E65951"/>
    <w:rsid w:val="00E93AAD"/>
    <w:rsid w:val="00EA02A0"/>
    <w:rsid w:val="00EA0B2F"/>
    <w:rsid w:val="00EA16A4"/>
    <w:rsid w:val="00EA1BF9"/>
    <w:rsid w:val="00EA27B5"/>
    <w:rsid w:val="00EA3A6B"/>
    <w:rsid w:val="00EA5056"/>
    <w:rsid w:val="00EB7E79"/>
    <w:rsid w:val="00EC59BD"/>
    <w:rsid w:val="00ED3B0A"/>
    <w:rsid w:val="00EE0F9A"/>
    <w:rsid w:val="00EE1DBC"/>
    <w:rsid w:val="00EE7ABA"/>
    <w:rsid w:val="00EF1FF4"/>
    <w:rsid w:val="00EF3E1C"/>
    <w:rsid w:val="00EF5525"/>
    <w:rsid w:val="00F03C68"/>
    <w:rsid w:val="00F05367"/>
    <w:rsid w:val="00F46A8F"/>
    <w:rsid w:val="00F5376F"/>
    <w:rsid w:val="00F7063D"/>
    <w:rsid w:val="00F73288"/>
    <w:rsid w:val="00F8221A"/>
    <w:rsid w:val="00F90D7E"/>
    <w:rsid w:val="00FA034C"/>
    <w:rsid w:val="00FB3D7F"/>
    <w:rsid w:val="00FB61C6"/>
    <w:rsid w:val="00FD28A7"/>
    <w:rsid w:val="00FE081A"/>
    <w:rsid w:val="00FE1BEC"/>
    <w:rsid w:val="00FE5290"/>
    <w:rsid w:val="00FE5514"/>
    <w:rsid w:val="00FF28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79D3C1B-75AC-4DE5-A7FD-AC3980CD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6E80"/>
    <w:pPr>
      <w:ind w:left="720"/>
      <w:contextualSpacing/>
    </w:pPr>
  </w:style>
  <w:style w:type="character" w:styleId="Lienhypertexte">
    <w:name w:val="Hyperlink"/>
    <w:basedOn w:val="Policepardfaut"/>
    <w:rsid w:val="005A2E4A"/>
    <w:rPr>
      <w:strike w:val="0"/>
      <w:dstrike w:val="0"/>
      <w:color w:val="486FAA"/>
      <w:u w:val="none"/>
      <w:effect w:val="none"/>
    </w:rPr>
  </w:style>
  <w:style w:type="paragraph" w:customStyle="1" w:styleId="Default">
    <w:name w:val="Default"/>
    <w:rsid w:val="00EB7E7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lise.catholique.fr/ressources-annuaires/lexique/definition.html?&amp;lexiqueID=43&amp;Expression=Episcopat" TargetMode="External"/><Relationship Id="rId3" Type="http://schemas.openxmlformats.org/officeDocument/2006/relationships/settings" Target="settings.xml"/><Relationship Id="rId7" Type="http://schemas.openxmlformats.org/officeDocument/2006/relationships/hyperlink" Target="http://www.eglise.catholique.fr/ressources-annuaires/lexique/definition.html?&amp;lexiqueID=94&amp;Expression=Pr&#234;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glise.catholique.fr/ressources-annuaires/lexique/definition.html?&amp;lexiqueID=49&amp;Expression=Ev&#234;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561</Words>
  <Characters>3088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Finetti</dc:creator>
  <cp:keywords/>
  <dc:description/>
  <cp:lastModifiedBy>Elio Finetti</cp:lastModifiedBy>
  <cp:revision>20</cp:revision>
  <dcterms:created xsi:type="dcterms:W3CDTF">2014-02-14T14:42:00Z</dcterms:created>
  <dcterms:modified xsi:type="dcterms:W3CDTF">2014-03-21T11:11:00Z</dcterms:modified>
</cp:coreProperties>
</file>