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E3" w:rsidRPr="009A1712" w:rsidRDefault="007C6F71" w:rsidP="007C6F71">
      <w:pPr>
        <w:jc w:val="center"/>
        <w:rPr>
          <w:b/>
          <w:sz w:val="20"/>
          <w:szCs w:val="20"/>
        </w:rPr>
      </w:pPr>
      <w:r w:rsidRPr="009A1712">
        <w:rPr>
          <w:b/>
          <w:sz w:val="20"/>
          <w:szCs w:val="20"/>
        </w:rPr>
        <w:t>Compte-rendu et débat</w:t>
      </w:r>
    </w:p>
    <w:p w:rsidR="001C63E7" w:rsidRDefault="001C63E7" w:rsidP="007C6F71">
      <w:pPr>
        <w:jc w:val="center"/>
        <w:rPr>
          <w:b/>
          <w:sz w:val="36"/>
          <w:szCs w:val="36"/>
        </w:rPr>
      </w:pPr>
    </w:p>
    <w:tbl>
      <w:tblPr>
        <w:tblW w:w="5000" w:type="pct"/>
        <w:tblCellSpacing w:w="15" w:type="dxa"/>
        <w:tblCellMar>
          <w:left w:w="0" w:type="dxa"/>
          <w:right w:w="0" w:type="dxa"/>
        </w:tblCellMar>
        <w:tblLook w:val="04A0" w:firstRow="1" w:lastRow="0" w:firstColumn="1" w:lastColumn="0" w:noHBand="0" w:noVBand="1"/>
      </w:tblPr>
      <w:tblGrid>
        <w:gridCol w:w="4442"/>
        <w:gridCol w:w="4628"/>
      </w:tblGrid>
      <w:tr w:rsidR="001C63E7" w:rsidTr="007C1C4D">
        <w:trPr>
          <w:trHeight w:val="769"/>
          <w:tblCellSpacing w:w="15" w:type="dxa"/>
        </w:trPr>
        <w:tc>
          <w:tcPr>
            <w:tcW w:w="2424" w:type="pct"/>
            <w:tcMar>
              <w:top w:w="15" w:type="dxa"/>
              <w:left w:w="15" w:type="dxa"/>
              <w:bottom w:w="15" w:type="dxa"/>
              <w:right w:w="15" w:type="dxa"/>
            </w:tcMar>
            <w:hideMark/>
          </w:tcPr>
          <w:p w:rsidR="001C63E7" w:rsidRDefault="001C63E7" w:rsidP="007C1C4D">
            <w:pPr>
              <w:jc w:val="center"/>
              <w:rPr>
                <w:b/>
                <w:bCs/>
                <w:i/>
                <w:iCs/>
                <w:sz w:val="15"/>
                <w:szCs w:val="15"/>
              </w:rPr>
            </w:pPr>
            <w:r>
              <w:rPr>
                <w:b/>
                <w:i/>
                <w:noProof/>
                <w:sz w:val="15"/>
                <w:szCs w:val="15"/>
                <w:lang w:eastAsia="fr-BE"/>
              </w:rPr>
              <w:drawing>
                <wp:inline distT="0" distB="0" distL="0" distR="0" wp14:anchorId="4BC6FE30" wp14:editId="2C1262F6">
                  <wp:extent cx="1181100" cy="6000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600075"/>
                          </a:xfrm>
                          <a:prstGeom prst="rect">
                            <a:avLst/>
                          </a:prstGeom>
                          <a:noFill/>
                          <a:ln>
                            <a:noFill/>
                          </a:ln>
                        </pic:spPr>
                      </pic:pic>
                    </a:graphicData>
                  </a:graphic>
                </wp:inline>
              </w:drawing>
            </w:r>
          </w:p>
          <w:p w:rsidR="001C63E7" w:rsidRDefault="001C63E7" w:rsidP="007C1C4D">
            <w:pPr>
              <w:jc w:val="center"/>
              <w:rPr>
                <w:rFonts w:ascii="Arial" w:hAnsi="Arial" w:cs="Arial"/>
                <w:b/>
                <w:bCs/>
                <w:iCs/>
                <w:color w:val="333399"/>
                <w:sz w:val="12"/>
                <w:szCs w:val="12"/>
              </w:rPr>
            </w:pPr>
            <w:smartTag w:uri="urn:schemas-microsoft-com:office:smarttags" w:element="PersonName">
              <w:smartTagPr>
                <w:attr w:name="ProductID" w:val="Cercle universitaire"/>
              </w:smartTagPr>
              <w:r>
                <w:rPr>
                  <w:rFonts w:ascii="Arial" w:hAnsi="Arial" w:cs="Arial"/>
                  <w:b/>
                  <w:bCs/>
                  <w:iCs/>
                  <w:color w:val="333399"/>
                  <w:sz w:val="12"/>
                  <w:szCs w:val="12"/>
                </w:rPr>
                <w:t>Cercle universitaire</w:t>
              </w:r>
            </w:smartTag>
          </w:p>
          <w:p w:rsidR="001C63E7" w:rsidRDefault="001C63E7" w:rsidP="007C1C4D">
            <w:pPr>
              <w:jc w:val="center"/>
              <w:rPr>
                <w:sz w:val="19"/>
                <w:szCs w:val="19"/>
              </w:rPr>
            </w:pPr>
            <w:r>
              <w:rPr>
                <w:rFonts w:ascii="Arial" w:hAnsi="Arial" w:cs="Arial"/>
                <w:b/>
                <w:bCs/>
                <w:iCs/>
                <w:color w:val="333399"/>
                <w:sz w:val="12"/>
                <w:szCs w:val="12"/>
              </w:rPr>
              <w:t>L’Union des étudiants catholiques de Liège, a.s.b.l.</w:t>
            </w:r>
          </w:p>
        </w:tc>
        <w:tc>
          <w:tcPr>
            <w:tcW w:w="2526" w:type="pct"/>
          </w:tcPr>
          <w:p w:rsidR="001C63E7" w:rsidRDefault="001C63E7" w:rsidP="007C1C4D">
            <w:pPr>
              <w:rPr>
                <w:b/>
                <w:bCs/>
                <w:smallCaps/>
                <w:sz w:val="12"/>
                <w:szCs w:val="12"/>
              </w:rPr>
            </w:pPr>
          </w:p>
          <w:p w:rsidR="001C63E7" w:rsidRDefault="001C63E7" w:rsidP="007C1C4D">
            <w:pPr>
              <w:jc w:val="center"/>
              <w:rPr>
                <w:b/>
                <w:bCs/>
                <w:smallCaps/>
                <w:sz w:val="19"/>
                <w:szCs w:val="19"/>
              </w:rPr>
            </w:pPr>
            <w:r>
              <w:rPr>
                <w:b/>
                <w:smallCaps/>
                <w:noProof/>
                <w:sz w:val="19"/>
                <w:szCs w:val="19"/>
                <w:lang w:eastAsia="fr-BE"/>
              </w:rPr>
              <w:drawing>
                <wp:inline distT="0" distB="0" distL="0" distR="0" wp14:anchorId="586B43F1" wp14:editId="261A66D1">
                  <wp:extent cx="1714500" cy="552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p>
          <w:p w:rsidR="001C63E7" w:rsidRDefault="001C63E7" w:rsidP="007C1C4D">
            <w:pPr>
              <w:jc w:val="center"/>
              <w:rPr>
                <w:b/>
                <w:bCs/>
                <w:smallCaps/>
                <w:sz w:val="12"/>
                <w:szCs w:val="12"/>
              </w:rPr>
            </w:pPr>
          </w:p>
          <w:p w:rsidR="001C63E7" w:rsidRDefault="001C63E7" w:rsidP="007C1C4D">
            <w:pPr>
              <w:jc w:val="center"/>
              <w:rPr>
                <w:sz w:val="12"/>
                <w:szCs w:val="12"/>
              </w:rPr>
            </w:pPr>
            <w:r>
              <w:rPr>
                <w:rFonts w:ascii="Arial Rounded MT Bold" w:hAnsi="Arial Rounded MT Bold"/>
                <w:b/>
                <w:bCs/>
                <w:i/>
                <w:iCs/>
                <w:smallCaps/>
                <w:color w:val="000080"/>
                <w:spacing w:val="20"/>
                <w:sz w:val="12"/>
                <w:szCs w:val="12"/>
              </w:rPr>
              <w:t>Groupe de réflexion</w:t>
            </w:r>
            <w:r>
              <w:rPr>
                <w:rFonts w:ascii="Arial Rounded MT Bold" w:hAnsi="Arial Rounded MT Bold"/>
                <w:b/>
                <w:bCs/>
                <w:i/>
                <w:iCs/>
                <w:sz w:val="12"/>
                <w:szCs w:val="12"/>
              </w:rPr>
              <w:t xml:space="preserve"> </w:t>
            </w:r>
            <w:r>
              <w:rPr>
                <w:rFonts w:ascii="Arial Rounded MT Bold" w:hAnsi="Arial Rounded MT Bold"/>
                <w:b/>
                <w:bCs/>
                <w:i/>
                <w:iCs/>
                <w:smallCaps/>
                <w:color w:val="000080"/>
                <w:spacing w:val="20"/>
                <w:sz w:val="12"/>
                <w:szCs w:val="12"/>
              </w:rPr>
              <w:t>sur l’éthique sociale</w:t>
            </w:r>
          </w:p>
        </w:tc>
      </w:tr>
    </w:tbl>
    <w:p w:rsidR="001C63E7" w:rsidRDefault="001C63E7" w:rsidP="001C63E7">
      <w:pPr>
        <w:jc w:val="center"/>
        <w:rPr>
          <w:sz w:val="20"/>
          <w:szCs w:val="20"/>
        </w:rPr>
      </w:pPr>
      <w:r>
        <w:t>Ce cycle est organisé avec le concours du forum de conférences « Calpurnia »</w:t>
      </w:r>
    </w:p>
    <w:p w:rsidR="001C63E7" w:rsidRDefault="001C63E7" w:rsidP="007C6F71">
      <w:pPr>
        <w:jc w:val="center"/>
        <w:rPr>
          <w:b/>
          <w:sz w:val="36"/>
          <w:szCs w:val="36"/>
        </w:rPr>
      </w:pPr>
    </w:p>
    <w:p w:rsidR="00240E09" w:rsidRDefault="00240E09" w:rsidP="00BC4E36">
      <w:pPr>
        <w:pBdr>
          <w:top w:val="single" w:sz="4" w:space="1" w:color="auto"/>
          <w:left w:val="single" w:sz="4" w:space="4" w:color="auto"/>
          <w:bottom w:val="single" w:sz="4" w:space="1" w:color="auto"/>
          <w:right w:val="single" w:sz="4" w:space="4" w:color="auto"/>
        </w:pBdr>
        <w:spacing w:before="600" w:after="120"/>
        <w:jc w:val="center"/>
        <w:rPr>
          <w:b/>
          <w:iCs/>
          <w:caps/>
          <w:sz w:val="28"/>
          <w:szCs w:val="52"/>
          <w:u w:val="single"/>
        </w:rPr>
      </w:pPr>
      <w:r>
        <w:rPr>
          <w:b/>
          <w:iCs/>
          <w:caps/>
          <w:sz w:val="28"/>
          <w:szCs w:val="52"/>
          <w:u w:val="single"/>
        </w:rPr>
        <w:t>Neutralité ou Pluralisme</w:t>
      </w:r>
    </w:p>
    <w:p w:rsidR="00240E09" w:rsidRDefault="00240E09" w:rsidP="00BC4E36">
      <w:pPr>
        <w:pBdr>
          <w:top w:val="single" w:sz="4" w:space="1" w:color="auto"/>
          <w:left w:val="single" w:sz="4" w:space="4" w:color="auto"/>
          <w:bottom w:val="single" w:sz="4" w:space="1" w:color="auto"/>
          <w:right w:val="single" w:sz="4" w:space="4" w:color="auto"/>
        </w:pBdr>
        <w:spacing w:before="120" w:after="120"/>
        <w:jc w:val="center"/>
      </w:pPr>
      <w:r>
        <w:t>Dialogue entre Religions et Philosophies non confessionnelles</w:t>
      </w:r>
    </w:p>
    <w:p w:rsidR="00240E09" w:rsidRPr="00F23931" w:rsidRDefault="00240E09" w:rsidP="00BC4E36">
      <w:pPr>
        <w:pBdr>
          <w:top w:val="single" w:sz="4" w:space="1" w:color="auto"/>
          <w:left w:val="single" w:sz="4" w:space="4" w:color="auto"/>
          <w:bottom w:val="single" w:sz="4" w:space="1" w:color="auto"/>
          <w:right w:val="single" w:sz="4" w:space="4" w:color="auto"/>
        </w:pBdr>
        <w:tabs>
          <w:tab w:val="left" w:pos="707"/>
          <w:tab w:val="left" w:pos="1124"/>
          <w:tab w:val="left" w:pos="2221"/>
        </w:tabs>
        <w:spacing w:before="480" w:after="360"/>
        <w:jc w:val="center"/>
        <w:rPr>
          <w:b/>
        </w:rPr>
      </w:pPr>
      <w:r w:rsidRPr="00F23931">
        <w:rPr>
          <w:b/>
        </w:rPr>
        <w:t>Mercredi 25 Avril 2012</w:t>
      </w:r>
    </w:p>
    <w:p w:rsidR="00240E09" w:rsidRDefault="00240E09" w:rsidP="00BC4E36">
      <w:pPr>
        <w:pBdr>
          <w:top w:val="single" w:sz="4" w:space="1" w:color="auto"/>
          <w:left w:val="single" w:sz="4" w:space="4" w:color="auto"/>
          <w:bottom w:val="single" w:sz="4" w:space="1" w:color="auto"/>
          <w:right w:val="single" w:sz="4" w:space="4" w:color="auto"/>
        </w:pBdr>
        <w:tabs>
          <w:tab w:val="left" w:pos="707"/>
          <w:tab w:val="left" w:pos="1124"/>
          <w:tab w:val="left" w:pos="2221"/>
        </w:tabs>
        <w:spacing w:before="480" w:after="360"/>
        <w:jc w:val="center"/>
        <w:rPr>
          <w:b/>
          <w:sz w:val="52"/>
        </w:rPr>
      </w:pPr>
      <w:r w:rsidRPr="00B64508">
        <w:rPr>
          <w:b/>
          <w:sz w:val="52"/>
        </w:rPr>
        <w:t>Neutralité ou pluralisme</w:t>
      </w:r>
      <w:r>
        <w:rPr>
          <w:b/>
          <w:sz w:val="52"/>
        </w:rPr>
        <w:br/>
      </w:r>
      <w:r w:rsidRPr="00B64508">
        <w:rPr>
          <w:b/>
          <w:sz w:val="52"/>
        </w:rPr>
        <w:t>dans l’espace public</w:t>
      </w:r>
      <w:r w:rsidRPr="006D5E8F">
        <w:rPr>
          <w:b/>
          <w:bCs/>
          <w:smallCaps/>
          <w:sz w:val="19"/>
          <w:szCs w:val="19"/>
        </w:rPr>
        <w:t xml:space="preserve"> </w:t>
      </w:r>
    </w:p>
    <w:p w:rsidR="00240E09" w:rsidRDefault="00240E09" w:rsidP="00BC4E36">
      <w:pPr>
        <w:pBdr>
          <w:top w:val="single" w:sz="4" w:space="1" w:color="auto"/>
          <w:left w:val="single" w:sz="4" w:space="4" w:color="auto"/>
          <w:bottom w:val="single" w:sz="4" w:space="1" w:color="auto"/>
          <w:right w:val="single" w:sz="4" w:space="4" w:color="auto"/>
        </w:pBdr>
        <w:tabs>
          <w:tab w:val="left" w:pos="707"/>
          <w:tab w:val="left" w:pos="1124"/>
          <w:tab w:val="left" w:pos="2221"/>
        </w:tabs>
        <w:spacing w:before="120" w:after="120"/>
        <w:jc w:val="center"/>
        <w:rPr>
          <w:b/>
          <w:sz w:val="28"/>
          <w:szCs w:val="28"/>
        </w:rPr>
      </w:pPr>
      <w:r>
        <w:rPr>
          <w:b/>
          <w:sz w:val="28"/>
          <w:szCs w:val="28"/>
        </w:rPr>
        <w:t>par</w:t>
      </w:r>
    </w:p>
    <w:p w:rsidR="00240E09" w:rsidRDefault="00240E09" w:rsidP="00BC4E36">
      <w:pPr>
        <w:pBdr>
          <w:top w:val="single" w:sz="4" w:space="1" w:color="auto"/>
          <w:left w:val="single" w:sz="4" w:space="4" w:color="auto"/>
          <w:bottom w:val="single" w:sz="4" w:space="1" w:color="auto"/>
          <w:right w:val="single" w:sz="4" w:space="4" w:color="auto"/>
        </w:pBdr>
        <w:tabs>
          <w:tab w:val="left" w:pos="707"/>
          <w:tab w:val="left" w:pos="1124"/>
          <w:tab w:val="left" w:pos="2221"/>
        </w:tabs>
        <w:jc w:val="center"/>
        <w:rPr>
          <w:b/>
          <w:sz w:val="36"/>
          <w:szCs w:val="36"/>
        </w:rPr>
      </w:pPr>
      <w:r w:rsidRPr="00B64508">
        <w:rPr>
          <w:b/>
          <w:sz w:val="36"/>
          <w:szCs w:val="36"/>
        </w:rPr>
        <w:t xml:space="preserve">Francis </w:t>
      </w:r>
      <w:r w:rsidRPr="00B64508">
        <w:rPr>
          <w:b/>
          <w:caps/>
          <w:sz w:val="36"/>
          <w:szCs w:val="36"/>
        </w:rPr>
        <w:t>Delpér</w:t>
      </w:r>
      <w:r>
        <w:rPr>
          <w:b/>
          <w:bCs/>
          <w:caps/>
          <w:sz w:val="36"/>
          <w:szCs w:val="36"/>
        </w:rPr>
        <w:t>é</w:t>
      </w:r>
      <w:r w:rsidRPr="00B64508">
        <w:rPr>
          <w:b/>
          <w:bCs/>
          <w:caps/>
          <w:sz w:val="36"/>
          <w:szCs w:val="36"/>
        </w:rPr>
        <w:t>e</w:t>
      </w:r>
      <w:r>
        <w:rPr>
          <w:b/>
          <w:sz w:val="36"/>
          <w:szCs w:val="36"/>
        </w:rPr>
        <w:t xml:space="preserve"> </w:t>
      </w:r>
    </w:p>
    <w:p w:rsidR="00240E09" w:rsidRDefault="00240E09" w:rsidP="00BC4E36">
      <w:pPr>
        <w:pBdr>
          <w:top w:val="single" w:sz="4" w:space="1" w:color="auto"/>
          <w:left w:val="single" w:sz="4" w:space="4" w:color="auto"/>
          <w:bottom w:val="single" w:sz="4" w:space="1" w:color="auto"/>
          <w:right w:val="single" w:sz="4" w:space="4" w:color="auto"/>
        </w:pBdr>
        <w:tabs>
          <w:tab w:val="left" w:pos="707"/>
          <w:tab w:val="left" w:pos="1124"/>
          <w:tab w:val="left" w:pos="2221"/>
        </w:tabs>
        <w:spacing w:before="120"/>
        <w:jc w:val="center"/>
        <w:rPr>
          <w:b/>
          <w:bCs/>
          <w:i/>
        </w:rPr>
      </w:pPr>
      <w:r>
        <w:rPr>
          <w:b/>
          <w:bCs/>
          <w:i/>
        </w:rPr>
        <w:t>S</w:t>
      </w:r>
      <w:r w:rsidRPr="00B64508">
        <w:rPr>
          <w:b/>
          <w:bCs/>
          <w:i/>
        </w:rPr>
        <w:t xml:space="preserve">énateur, professeur ém. de droit constitutionnel à </w:t>
      </w:r>
      <w:smartTag w:uri="urn:schemas-microsoft-com:office:smarttags" w:element="PersonName">
        <w:smartTagPr>
          <w:attr w:name="ProductID" w:val="la Facult￩"/>
        </w:smartTagPr>
        <w:r w:rsidRPr="00B64508">
          <w:rPr>
            <w:b/>
            <w:bCs/>
            <w:i/>
          </w:rPr>
          <w:t>la Faculté</w:t>
        </w:r>
      </w:smartTag>
      <w:r w:rsidRPr="00B64508">
        <w:rPr>
          <w:b/>
          <w:bCs/>
          <w:i/>
        </w:rPr>
        <w:t xml:space="preserve"> de droit de l'Université Catholique de Louvain (UCL)</w:t>
      </w:r>
    </w:p>
    <w:p w:rsidR="00BC4E36" w:rsidRDefault="00BC4E36" w:rsidP="00BC4E36">
      <w:pPr>
        <w:tabs>
          <w:tab w:val="left" w:pos="707"/>
          <w:tab w:val="left" w:pos="1124"/>
          <w:tab w:val="left" w:pos="2221"/>
        </w:tabs>
        <w:spacing w:before="120"/>
        <w:jc w:val="center"/>
        <w:rPr>
          <w:b/>
          <w:bCs/>
          <w:i/>
        </w:rPr>
      </w:pPr>
    </w:p>
    <w:p w:rsidR="00A24A44" w:rsidRPr="006601C3" w:rsidRDefault="00A24A44" w:rsidP="006601C3">
      <w:pPr>
        <w:pBdr>
          <w:top w:val="single" w:sz="4" w:space="1" w:color="auto"/>
          <w:left w:val="single" w:sz="4" w:space="4" w:color="auto"/>
          <w:bottom w:val="single" w:sz="4" w:space="1" w:color="auto"/>
          <w:right w:val="single" w:sz="4" w:space="4" w:color="auto"/>
        </w:pBdr>
        <w:tabs>
          <w:tab w:val="left" w:pos="707"/>
          <w:tab w:val="left" w:pos="1124"/>
          <w:tab w:val="left" w:pos="2221"/>
        </w:tabs>
        <w:spacing w:before="480" w:after="360"/>
        <w:rPr>
          <w:b/>
        </w:rPr>
      </w:pPr>
      <w:r w:rsidRPr="006601C3">
        <w:rPr>
          <w:b/>
          <w:bCs/>
        </w:rPr>
        <w:t>Préambule</w:t>
      </w:r>
      <w:bookmarkStart w:id="0" w:name="_GoBack"/>
      <w:bookmarkEnd w:id="0"/>
    </w:p>
    <w:p w:rsidR="00384EF3" w:rsidRPr="000827DF" w:rsidRDefault="00384EF3" w:rsidP="002B2256">
      <w:pPr>
        <w:pBdr>
          <w:top w:val="single" w:sz="4" w:space="1" w:color="auto"/>
          <w:left w:val="single" w:sz="4" w:space="4" w:color="auto"/>
          <w:bottom w:val="single" w:sz="4" w:space="1" w:color="auto"/>
          <w:right w:val="single" w:sz="4" w:space="4" w:color="auto"/>
        </w:pBdr>
        <w:shd w:val="clear" w:color="auto" w:fill="FFFFFF"/>
        <w:spacing w:before="210" w:after="210"/>
        <w:jc w:val="both"/>
        <w:rPr>
          <w:rFonts w:ascii="Verdana" w:hAnsi="Verdana" w:cs="Lucida Sans Unicode"/>
          <w:color w:val="000000"/>
        </w:rPr>
      </w:pPr>
      <w:r w:rsidRPr="000827DF">
        <w:rPr>
          <w:rFonts w:ascii="Verdana" w:hAnsi="Verdana" w:cs="Lucida Sans Unicode"/>
          <w:color w:val="000000"/>
        </w:rPr>
        <w:t xml:space="preserve">Neutralité "et" </w:t>
      </w:r>
      <w:r w:rsidR="000827DF" w:rsidRPr="000827DF">
        <w:rPr>
          <w:rFonts w:ascii="Verdana" w:hAnsi="Verdana" w:cs="Lucida Sans Unicode"/>
          <w:color w:val="000000"/>
        </w:rPr>
        <w:t>pluralisme :</w:t>
      </w:r>
      <w:r w:rsidRPr="000827DF">
        <w:rPr>
          <w:rFonts w:ascii="Verdana" w:hAnsi="Verdana" w:cs="Lucida Sans Unicode"/>
          <w:color w:val="000000"/>
        </w:rPr>
        <w:t xml:space="preserve"> est-ce la solution la moins mauvaise, lorsque la réalisation de l’idéal de chrétienté est manifestement hors de portée ? « Cela se discute » comme dirait Jean-Luc Delarue. À condition de ne pas brader son idéal, ni son héritage, car c’est le christianisme qui est l'humanisme intégral.</w:t>
      </w:r>
    </w:p>
    <w:p w:rsidR="00384EF3" w:rsidRDefault="00384EF3" w:rsidP="002B2256">
      <w:pPr>
        <w:pBdr>
          <w:top w:val="single" w:sz="4" w:space="1" w:color="auto"/>
          <w:left w:val="single" w:sz="4" w:space="4" w:color="auto"/>
          <w:bottom w:val="single" w:sz="4" w:space="1" w:color="auto"/>
          <w:right w:val="single" w:sz="4" w:space="4" w:color="auto"/>
        </w:pBdr>
        <w:shd w:val="clear" w:color="auto" w:fill="FFFFFF"/>
        <w:spacing w:before="210" w:after="210"/>
        <w:jc w:val="both"/>
        <w:rPr>
          <w:rFonts w:ascii="Verdana" w:hAnsi="Verdana" w:cs="Lucida Sans Unicode"/>
          <w:color w:val="000000"/>
          <w:sz w:val="17"/>
          <w:szCs w:val="17"/>
        </w:rPr>
      </w:pPr>
      <w:r>
        <w:rPr>
          <w:rFonts w:ascii="Verdana" w:hAnsi="Verdana" w:cs="Lucida Sans Unicode"/>
          <w:color w:val="000000"/>
        </w:rPr>
        <w:t xml:space="preserve">Face à la diversité idéologique, philosophique, religieuse et culturelle, à quels principes obéissent les institutions de l’Etat et de ses démembrements ?  L’espace public n’est-il pas aussi plus que l’addition des collectivités publiques, celui d’une société civile exprimant la pluralité des opinions, cultes, associations ou partis ? L’Eglise </w:t>
      </w:r>
      <w:r w:rsidR="000827DF">
        <w:rPr>
          <w:rFonts w:ascii="Verdana" w:hAnsi="Verdana" w:cs="Lucida Sans Unicode"/>
          <w:color w:val="000000"/>
        </w:rPr>
        <w:t>et les</w:t>
      </w:r>
      <w:r>
        <w:rPr>
          <w:rFonts w:ascii="Verdana" w:hAnsi="Verdana" w:cs="Lucida Sans Unicode"/>
          <w:color w:val="000000"/>
        </w:rPr>
        <w:t xml:space="preserve"> communautés religieuses ou philosophiques n’ont-elles pas un rôle à jouer</w:t>
      </w:r>
      <w:r w:rsidR="000D2960">
        <w:rPr>
          <w:rFonts w:ascii="Verdana" w:hAnsi="Verdana" w:cs="Lucida Sans Unicode"/>
          <w:color w:val="000000"/>
        </w:rPr>
        <w:t> pour</w:t>
      </w:r>
      <w:r>
        <w:rPr>
          <w:rFonts w:ascii="Verdana" w:hAnsi="Verdana" w:cs="Lucida Sans Unicode"/>
          <w:color w:val="000000"/>
        </w:rPr>
        <w:t xml:space="preserve"> construire cet espace public et les collectivités auxquelles celui-ci donne naissance ? Enfin, la neutralité et le pluralisme n’ont-ils pas aussi leurs propres limites (2) (3) ? </w:t>
      </w:r>
    </w:p>
    <w:p w:rsidR="00384EF3" w:rsidRDefault="00384EF3" w:rsidP="002B2256">
      <w:pPr>
        <w:pBdr>
          <w:top w:val="single" w:sz="4" w:space="1" w:color="auto"/>
          <w:left w:val="single" w:sz="4" w:space="4" w:color="auto"/>
          <w:bottom w:val="single" w:sz="4" w:space="1" w:color="auto"/>
          <w:right w:val="single" w:sz="4" w:space="4" w:color="auto"/>
        </w:pBdr>
        <w:shd w:val="clear" w:color="auto" w:fill="FFFFFF"/>
        <w:spacing w:before="210" w:after="210"/>
        <w:jc w:val="both"/>
        <w:rPr>
          <w:rFonts w:ascii="Verdana" w:hAnsi="Verdana" w:cs="Lucida Sans Unicode"/>
          <w:color w:val="000000"/>
          <w:sz w:val="17"/>
          <w:szCs w:val="17"/>
        </w:rPr>
      </w:pPr>
      <w:r>
        <w:rPr>
          <w:rFonts w:ascii="Verdana" w:hAnsi="Verdana" w:cs="Lucida Sans Unicode"/>
          <w:color w:val="000000"/>
        </w:rPr>
        <w:lastRenderedPageBreak/>
        <w:t xml:space="preserve">La parole a été donnée sur ce point à un éminent spécialiste du droit public </w:t>
      </w:r>
      <w:r w:rsidR="000D2960">
        <w:rPr>
          <w:rFonts w:ascii="Verdana" w:hAnsi="Verdana" w:cs="Lucida Sans Unicode"/>
          <w:color w:val="000000"/>
        </w:rPr>
        <w:t>belge :</w:t>
      </w:r>
      <w:r>
        <w:rPr>
          <w:rFonts w:ascii="Verdana" w:hAnsi="Verdana" w:cs="Lucida Sans Unicode"/>
          <w:color w:val="000000"/>
        </w:rPr>
        <w:t xml:space="preserve"> Francis DELPÉRÉE (photo) (3), sénateur et professeur ém. de droit constitutionnel à l’Université Catholique de Louvain (U.C.L.) </w:t>
      </w:r>
    </w:p>
    <w:p w:rsidR="00384EF3" w:rsidRDefault="00384EF3" w:rsidP="002B2256">
      <w:pPr>
        <w:pBdr>
          <w:top w:val="single" w:sz="4" w:space="1" w:color="auto"/>
          <w:left w:val="single" w:sz="4" w:space="4" w:color="auto"/>
          <w:bottom w:val="single" w:sz="4" w:space="1" w:color="auto"/>
          <w:right w:val="single" w:sz="4" w:space="4" w:color="auto"/>
        </w:pBdr>
        <w:shd w:val="clear" w:color="auto" w:fill="FFFFFF"/>
        <w:spacing w:before="210" w:after="210"/>
        <w:jc w:val="both"/>
        <w:rPr>
          <w:rFonts w:ascii="Verdana" w:hAnsi="Verdana" w:cs="Lucida Sans Unicode"/>
          <w:color w:val="000000"/>
          <w:sz w:val="17"/>
          <w:szCs w:val="17"/>
        </w:rPr>
      </w:pPr>
      <w:r>
        <w:rPr>
          <w:rFonts w:ascii="Verdana" w:hAnsi="Verdana" w:cs="Lucida Sans Unicode"/>
          <w:color w:val="000000"/>
        </w:rPr>
        <w:t>___________</w:t>
      </w:r>
    </w:p>
    <w:p w:rsidR="00384EF3" w:rsidRDefault="00384EF3" w:rsidP="002B2256">
      <w:pPr>
        <w:pBdr>
          <w:top w:val="single" w:sz="4" w:space="1" w:color="auto"/>
          <w:left w:val="single" w:sz="4" w:space="4" w:color="auto"/>
          <w:bottom w:val="single" w:sz="4" w:space="1" w:color="auto"/>
          <w:right w:val="single" w:sz="4" w:space="4" w:color="auto"/>
        </w:pBdr>
        <w:shd w:val="clear" w:color="auto" w:fill="FFFFFF"/>
        <w:spacing w:before="210" w:after="210"/>
        <w:jc w:val="both"/>
        <w:rPr>
          <w:rFonts w:ascii="Verdana" w:hAnsi="Verdana" w:cs="Lucida Sans Unicode"/>
          <w:color w:val="000000"/>
          <w:sz w:val="17"/>
          <w:szCs w:val="17"/>
        </w:rPr>
      </w:pPr>
      <w:r>
        <w:rPr>
          <w:rFonts w:ascii="Arial" w:hAnsi="Arial" w:cs="Arial"/>
          <w:color w:val="000000"/>
        </w:rPr>
        <w:t>(1) L'Union des Etudiants Catholiques de Liège est membre de l'asbl "Sursum Corda", association de fidèles responsable de l'église du Saint-Sacrement au Boulevard d'Avroy, aux activités de laquelle elle est intimement associée.</w:t>
      </w:r>
    </w:p>
    <w:p w:rsidR="00384EF3" w:rsidRDefault="00384EF3" w:rsidP="002B2256">
      <w:pPr>
        <w:pBdr>
          <w:top w:val="single" w:sz="4" w:space="1" w:color="auto"/>
          <w:left w:val="single" w:sz="4" w:space="4" w:color="auto"/>
          <w:bottom w:val="single" w:sz="4" w:space="1" w:color="auto"/>
          <w:right w:val="single" w:sz="4" w:space="4" w:color="auto"/>
        </w:pBdr>
        <w:shd w:val="clear" w:color="auto" w:fill="FFFFFF"/>
        <w:spacing w:before="210" w:after="210"/>
        <w:jc w:val="both"/>
        <w:rPr>
          <w:rFonts w:ascii="Verdana" w:hAnsi="Verdana" w:cs="Lucida Sans Unicode"/>
          <w:color w:val="000000"/>
          <w:sz w:val="17"/>
          <w:szCs w:val="17"/>
        </w:rPr>
      </w:pPr>
      <w:r>
        <w:rPr>
          <w:rFonts w:ascii="Arial" w:hAnsi="Arial" w:cs="Arial"/>
          <w:color w:val="000000"/>
        </w:rPr>
        <w:t>(2) Les pays ont aussi une mémoire, une histoire, des traditions, bref une culture. Sous prétexte de neutralité, les pouvoirs publics ne peuvent l’ignorer.</w:t>
      </w:r>
    </w:p>
    <w:p w:rsidR="00384EF3" w:rsidRDefault="00384EF3" w:rsidP="002B2256">
      <w:pPr>
        <w:pBdr>
          <w:top w:val="single" w:sz="4" w:space="1" w:color="auto"/>
          <w:left w:val="single" w:sz="4" w:space="4" w:color="auto"/>
          <w:bottom w:val="single" w:sz="4" w:space="1" w:color="auto"/>
          <w:right w:val="single" w:sz="4" w:space="4" w:color="auto"/>
        </w:pBdr>
        <w:shd w:val="clear" w:color="auto" w:fill="FFFFFF"/>
        <w:spacing w:before="210" w:after="210"/>
        <w:jc w:val="both"/>
        <w:rPr>
          <w:rFonts w:ascii="Verdana" w:hAnsi="Verdana" w:cs="Lucida Sans Unicode"/>
          <w:color w:val="000000"/>
          <w:sz w:val="17"/>
          <w:szCs w:val="17"/>
        </w:rPr>
      </w:pPr>
      <w:r>
        <w:rPr>
          <w:rFonts w:ascii="Arial" w:hAnsi="Arial" w:cs="Arial"/>
          <w:color w:val="000000"/>
        </w:rPr>
        <w:t>En Belgique, les sénateurs Philippe Mahoux, Christine Defraigne, Josy Dubié, Jean-Jacques De Gucht, Paul Wille et Olga Zirhen avaient déposé le 06.11.2007 une</w:t>
      </w:r>
      <w:r w:rsidR="000D2960">
        <w:rPr>
          <w:rFonts w:ascii="Arial" w:hAnsi="Arial" w:cs="Arial"/>
          <w:color w:val="000000"/>
        </w:rPr>
        <w:t> proposition</w:t>
      </w:r>
      <w:r>
        <w:rPr>
          <w:rFonts w:ascii="Arial" w:hAnsi="Arial" w:cs="Arial"/>
          <w:color w:val="000000"/>
        </w:rPr>
        <w:t xml:space="preserve"> de loi « </w:t>
      </w:r>
      <w:r>
        <w:rPr>
          <w:rStyle w:val="Accentuation"/>
          <w:rFonts w:ascii="Arial" w:hAnsi="Arial" w:cs="Arial"/>
          <w:color w:val="000000"/>
        </w:rPr>
        <w:t>visant à appliquer la séparation de l'État et des organisations et communautés religieuses et philosophiques non confessionnelles</w:t>
      </w:r>
      <w:r>
        <w:rPr>
          <w:rFonts w:ascii="Arial" w:hAnsi="Arial" w:cs="Arial"/>
          <w:color w:val="000000"/>
        </w:rPr>
        <w:t> ». Sous prétexte de neutralité, cette proposition prévoyait, entre autres, la suppression du « Te Deum » officiel organisé lors de la fête nationale et celle de tous les signes religieux des lieux publics comme les maisons communales ou les tribunaux, voire les cimetières. Ses auteurs n’ont pas trouvé de majorité parlementaire pour soutenir la proposition, qui a été retirée.</w:t>
      </w:r>
    </w:p>
    <w:p w:rsidR="00384EF3" w:rsidRDefault="00384EF3" w:rsidP="002B2256">
      <w:pPr>
        <w:pBdr>
          <w:top w:val="single" w:sz="4" w:space="1" w:color="auto"/>
          <w:left w:val="single" w:sz="4" w:space="4" w:color="auto"/>
          <w:bottom w:val="single" w:sz="4" w:space="1" w:color="auto"/>
          <w:right w:val="single" w:sz="4" w:space="4" w:color="auto"/>
        </w:pBdr>
        <w:shd w:val="clear" w:color="auto" w:fill="FFFFFF"/>
        <w:spacing w:before="210" w:after="210"/>
        <w:jc w:val="both"/>
        <w:rPr>
          <w:rFonts w:ascii="Verdana" w:hAnsi="Verdana" w:cs="Lucida Sans Unicode"/>
          <w:color w:val="000000"/>
          <w:sz w:val="17"/>
          <w:szCs w:val="17"/>
        </w:rPr>
      </w:pPr>
      <w:r>
        <w:rPr>
          <w:rFonts w:ascii="Arial" w:hAnsi="Arial" w:cs="Arial"/>
          <w:color w:val="000000"/>
        </w:rPr>
        <w:t xml:space="preserve">Dans son arrêt Lautsi du 18.03.2011, </w:t>
      </w:r>
      <w:smartTag w:uri="urn:schemas-microsoft-com:office:smarttags" w:element="PersonName">
        <w:smartTagPr>
          <w:attr w:name="ProductID" w:val="la Cour"/>
        </w:smartTagPr>
        <w:r>
          <w:rPr>
            <w:rFonts w:ascii="Arial" w:hAnsi="Arial" w:cs="Arial"/>
            <w:color w:val="000000"/>
          </w:rPr>
          <w:t>la Cour</w:t>
        </w:r>
      </w:smartTag>
      <w:r>
        <w:rPr>
          <w:rFonts w:ascii="Arial" w:hAnsi="Arial" w:cs="Arial"/>
          <w:color w:val="000000"/>
        </w:rPr>
        <w:t xml:space="preserve"> européenne des droits de l’homme a jugé que</w:t>
      </w:r>
      <w:r w:rsidR="000D2960">
        <w:rPr>
          <w:rFonts w:ascii="Arial" w:hAnsi="Arial" w:cs="Arial"/>
          <w:color w:val="000000"/>
        </w:rPr>
        <w:t> la</w:t>
      </w:r>
      <w:r>
        <w:rPr>
          <w:rFonts w:ascii="Arial" w:hAnsi="Arial" w:cs="Arial"/>
          <w:color w:val="000000"/>
        </w:rPr>
        <w:t xml:space="preserve"> présence d’un crucifix dans les salles de classe des écoles publiques italiennes ne violait pas le droit à l’éducation tel qu’il doit être dispensé dans ce type d’écoles. Un arrêt sans doute appelé à faire jurisprudence.</w:t>
      </w:r>
    </w:p>
    <w:p w:rsidR="00384EF3" w:rsidRDefault="00384EF3" w:rsidP="002B2256">
      <w:pPr>
        <w:pBdr>
          <w:top w:val="single" w:sz="4" w:space="1" w:color="auto"/>
          <w:left w:val="single" w:sz="4" w:space="4" w:color="auto"/>
          <w:bottom w:val="single" w:sz="4" w:space="1" w:color="auto"/>
          <w:right w:val="single" w:sz="4" w:space="4" w:color="auto"/>
        </w:pBdr>
        <w:shd w:val="clear" w:color="auto" w:fill="FFFFFF"/>
        <w:spacing w:before="210" w:after="210"/>
        <w:jc w:val="both"/>
        <w:rPr>
          <w:rFonts w:ascii="Verdana" w:hAnsi="Verdana" w:cs="Lucida Sans Unicode"/>
          <w:color w:val="000000"/>
          <w:sz w:val="17"/>
          <w:szCs w:val="17"/>
        </w:rPr>
      </w:pPr>
      <w:r>
        <w:rPr>
          <w:rFonts w:ascii="Arial" w:hAnsi="Arial" w:cs="Arial"/>
          <w:color w:val="000000"/>
        </w:rPr>
        <w:t xml:space="preserve">(3) Le </w:t>
      </w:r>
      <w:r>
        <w:rPr>
          <w:rStyle w:val="Accentuation"/>
          <w:rFonts w:ascii="Arial" w:hAnsi="Arial" w:cs="Arial"/>
          <w:color w:val="000000"/>
        </w:rPr>
        <w:t>pluralisme</w:t>
      </w:r>
      <w:r>
        <w:rPr>
          <w:rFonts w:ascii="Arial" w:hAnsi="Arial" w:cs="Arial"/>
          <w:color w:val="000000"/>
        </w:rPr>
        <w:t>, qui est la marque de la liberté d’expression dans la sphère publique a, lui aussi, ses limites, en dehors même de toute atteinte à l’ordre public ou aux bonnes mœurs.</w:t>
      </w:r>
    </w:p>
    <w:p w:rsidR="00384EF3" w:rsidRDefault="00384EF3" w:rsidP="002B2256">
      <w:pPr>
        <w:pBdr>
          <w:top w:val="single" w:sz="4" w:space="1" w:color="auto"/>
          <w:left w:val="single" w:sz="4" w:space="4" w:color="auto"/>
          <w:bottom w:val="single" w:sz="4" w:space="1" w:color="auto"/>
          <w:right w:val="single" w:sz="4" w:space="4" w:color="auto"/>
        </w:pBdr>
        <w:shd w:val="clear" w:color="auto" w:fill="FFFFFF"/>
        <w:spacing w:before="210" w:after="210"/>
        <w:jc w:val="both"/>
        <w:rPr>
          <w:rFonts w:ascii="Verdana" w:hAnsi="Verdana" w:cs="Lucida Sans Unicode"/>
          <w:color w:val="000000"/>
          <w:sz w:val="17"/>
          <w:szCs w:val="17"/>
        </w:rPr>
      </w:pPr>
      <w:r>
        <w:rPr>
          <w:rFonts w:ascii="Arial" w:hAnsi="Arial" w:cs="Arial"/>
          <w:color w:val="000000"/>
        </w:rPr>
        <w:t>Ainsi en Belgique, une loi du 23 mars 1995 réprime pénalement un délit d’opinion spécifique qu’on appelle le « négationnisme », à savoir </w:t>
      </w:r>
      <w:r w:rsidR="000D2960">
        <w:rPr>
          <w:rFonts w:ascii="Arial" w:hAnsi="Arial" w:cs="Arial"/>
          <w:color w:val="000000"/>
        </w:rPr>
        <w:t>: tout</w:t>
      </w:r>
      <w:r>
        <w:rPr>
          <w:rFonts w:ascii="Arial" w:hAnsi="Arial" w:cs="Arial"/>
          <w:color w:val="000000"/>
        </w:rPr>
        <w:t xml:space="preserve"> écrit ou discours publics tendant à minimiser, justifier ou approuver le génocide commis par le régime national-socialiste allemand pendant la seconde guerre mondiale.</w:t>
      </w:r>
    </w:p>
    <w:p w:rsidR="00384EF3" w:rsidRDefault="00384EF3" w:rsidP="002B2256">
      <w:pPr>
        <w:pBdr>
          <w:top w:val="single" w:sz="4" w:space="1" w:color="auto"/>
          <w:left w:val="single" w:sz="4" w:space="4" w:color="auto"/>
          <w:bottom w:val="single" w:sz="4" w:space="1" w:color="auto"/>
          <w:right w:val="single" w:sz="4" w:space="4" w:color="auto"/>
        </w:pBdr>
        <w:shd w:val="clear" w:color="auto" w:fill="FFFFFF"/>
        <w:spacing w:before="210" w:after="210"/>
        <w:jc w:val="both"/>
        <w:rPr>
          <w:rFonts w:ascii="Verdana" w:hAnsi="Verdana" w:cs="Lucida Sans Unicode"/>
          <w:color w:val="000000"/>
          <w:sz w:val="17"/>
          <w:szCs w:val="17"/>
        </w:rPr>
      </w:pPr>
      <w:r>
        <w:rPr>
          <w:rFonts w:ascii="Arial" w:hAnsi="Arial" w:cs="Arial"/>
          <w:color w:val="000000"/>
        </w:rPr>
        <w:t xml:space="preserve">Dans le même ordre d’idées, une loi du 23 juillet 2011 interdit le port, dans l’espace public, de tout vêtement cachant la totalité ou une bonne partie du visage. Ceci vise, essentiellement, la </w:t>
      </w:r>
      <w:r w:rsidRPr="0022632D">
        <w:rPr>
          <w:rFonts w:ascii="Arial" w:hAnsi="Arial" w:cs="Arial"/>
          <w:i/>
          <w:color w:val="000000"/>
        </w:rPr>
        <w:t xml:space="preserve">burqa </w:t>
      </w:r>
      <w:r>
        <w:rPr>
          <w:rFonts w:ascii="Arial" w:hAnsi="Arial" w:cs="Arial"/>
          <w:color w:val="000000"/>
        </w:rPr>
        <w:t xml:space="preserve">ou le </w:t>
      </w:r>
      <w:r w:rsidRPr="0022632D">
        <w:rPr>
          <w:rFonts w:ascii="Arial" w:hAnsi="Arial" w:cs="Arial"/>
          <w:i/>
          <w:color w:val="000000"/>
        </w:rPr>
        <w:t xml:space="preserve">niqab </w:t>
      </w:r>
      <w:r>
        <w:rPr>
          <w:rFonts w:ascii="Arial" w:hAnsi="Arial" w:cs="Arial"/>
          <w:color w:val="000000"/>
        </w:rPr>
        <w:t>porté par des femmes musulmanes.</w:t>
      </w:r>
    </w:p>
    <w:p w:rsidR="00384EF3" w:rsidRDefault="00384EF3" w:rsidP="002B2256">
      <w:pPr>
        <w:pBdr>
          <w:top w:val="single" w:sz="4" w:space="1" w:color="auto"/>
          <w:left w:val="single" w:sz="4" w:space="4" w:color="auto"/>
          <w:bottom w:val="single" w:sz="4" w:space="1" w:color="auto"/>
          <w:right w:val="single" w:sz="4" w:space="4" w:color="auto"/>
        </w:pBdr>
        <w:shd w:val="clear" w:color="auto" w:fill="FFFFFF"/>
        <w:spacing w:before="210" w:after="210"/>
        <w:jc w:val="both"/>
        <w:rPr>
          <w:rFonts w:ascii="Verdana" w:hAnsi="Verdana" w:cs="Lucida Sans Unicode"/>
          <w:color w:val="000000"/>
          <w:sz w:val="17"/>
          <w:szCs w:val="17"/>
        </w:rPr>
      </w:pPr>
      <w:r>
        <w:rPr>
          <w:rFonts w:ascii="Arial" w:hAnsi="Arial" w:cs="Arial"/>
          <w:color w:val="000000"/>
        </w:rPr>
        <w:t>(4) Francis Delpérée est né à Liège le 14 janvier 1942.</w:t>
      </w:r>
    </w:p>
    <w:p w:rsidR="00384EF3" w:rsidRDefault="00384EF3" w:rsidP="002B2256">
      <w:pPr>
        <w:pBdr>
          <w:top w:val="single" w:sz="4" w:space="1" w:color="auto"/>
          <w:left w:val="single" w:sz="4" w:space="4" w:color="auto"/>
          <w:bottom w:val="single" w:sz="4" w:space="1" w:color="auto"/>
          <w:right w:val="single" w:sz="4" w:space="4" w:color="auto"/>
        </w:pBdr>
        <w:shd w:val="clear" w:color="auto" w:fill="FFFFFF"/>
        <w:spacing w:before="210" w:after="210"/>
        <w:jc w:val="both"/>
        <w:rPr>
          <w:rFonts w:ascii="Verdana" w:hAnsi="Verdana" w:cs="Lucida Sans Unicode"/>
          <w:color w:val="000000"/>
          <w:sz w:val="17"/>
          <w:szCs w:val="17"/>
        </w:rPr>
      </w:pPr>
      <w:r>
        <w:rPr>
          <w:rFonts w:ascii="Arial" w:hAnsi="Arial" w:cs="Arial"/>
          <w:color w:val="000000"/>
        </w:rPr>
        <w:t xml:space="preserve">Après des études de droit à l’Université catholique de Louvain (1964), il est reçu docteur en droit de l’Université de Paris (1968) et commence à enseigner à Louvain et à Bruxelles (Saint-Louis). Au cours des dix années suivantes, il gravit tous les échelons du </w:t>
      </w:r>
      <w:r>
        <w:rPr>
          <w:rStyle w:val="Accentuation"/>
          <w:rFonts w:ascii="Arial" w:hAnsi="Arial" w:cs="Arial"/>
          <w:color w:val="000000"/>
        </w:rPr>
        <w:t>cursus honorum</w:t>
      </w:r>
      <w:r>
        <w:rPr>
          <w:rFonts w:ascii="Arial" w:hAnsi="Arial" w:cs="Arial"/>
          <w:color w:val="000000"/>
        </w:rPr>
        <w:t xml:space="preserve"> académique et est nommé professeur ordinaire à l’Université catholique de Louvain en 1979.</w:t>
      </w:r>
    </w:p>
    <w:p w:rsidR="00384EF3" w:rsidRDefault="00384EF3" w:rsidP="002B2256">
      <w:pPr>
        <w:pBdr>
          <w:top w:val="single" w:sz="4" w:space="1" w:color="auto"/>
          <w:left w:val="single" w:sz="4" w:space="4" w:color="auto"/>
          <w:bottom w:val="single" w:sz="4" w:space="1" w:color="auto"/>
          <w:right w:val="single" w:sz="4" w:space="4" w:color="auto"/>
        </w:pBdr>
        <w:shd w:val="clear" w:color="auto" w:fill="FFFFFF"/>
        <w:spacing w:before="210" w:after="210"/>
        <w:jc w:val="both"/>
        <w:rPr>
          <w:rFonts w:ascii="Verdana" w:hAnsi="Verdana" w:cs="Lucida Sans Unicode"/>
          <w:color w:val="000000"/>
          <w:sz w:val="17"/>
          <w:szCs w:val="17"/>
        </w:rPr>
      </w:pPr>
      <w:r>
        <w:rPr>
          <w:rFonts w:ascii="Arial" w:hAnsi="Arial" w:cs="Arial"/>
          <w:color w:val="000000"/>
        </w:rPr>
        <w:t>Jusqu’en 2007, année de son accession à l’éméritat, il enseigne dans cette université le droit constitutionnel, le droit administratif et le droit public comparé.</w:t>
      </w:r>
    </w:p>
    <w:p w:rsidR="00384EF3" w:rsidRDefault="00384EF3" w:rsidP="002B2256">
      <w:pPr>
        <w:pBdr>
          <w:top w:val="single" w:sz="4" w:space="1" w:color="auto"/>
          <w:left w:val="single" w:sz="4" w:space="4" w:color="auto"/>
          <w:bottom w:val="single" w:sz="4" w:space="1" w:color="auto"/>
          <w:right w:val="single" w:sz="4" w:space="4" w:color="auto"/>
        </w:pBdr>
        <w:shd w:val="clear" w:color="auto" w:fill="FFFFFF"/>
        <w:spacing w:before="210" w:after="210"/>
        <w:jc w:val="both"/>
        <w:rPr>
          <w:rFonts w:ascii="Verdana" w:hAnsi="Verdana" w:cs="Lucida Sans Unicode"/>
          <w:color w:val="000000"/>
          <w:sz w:val="17"/>
          <w:szCs w:val="17"/>
        </w:rPr>
      </w:pPr>
      <w:r>
        <w:rPr>
          <w:rFonts w:ascii="Arial" w:hAnsi="Arial" w:cs="Arial"/>
          <w:color w:val="000000"/>
        </w:rPr>
        <w:t xml:space="preserve">Directeur de </w:t>
      </w:r>
      <w:smartTag w:uri="urn:schemas-microsoft-com:office:smarttags" w:element="PersonName">
        <w:smartTagPr>
          <w:attr w:name="ProductID" w:val="la Revue"/>
        </w:smartTagPr>
        <w:r>
          <w:rPr>
            <w:rFonts w:ascii="Arial" w:hAnsi="Arial" w:cs="Arial"/>
            <w:color w:val="000000"/>
          </w:rPr>
          <w:t xml:space="preserve">la </w:t>
        </w:r>
        <w:r>
          <w:rPr>
            <w:rStyle w:val="Accentuation"/>
            <w:rFonts w:ascii="Arial" w:hAnsi="Arial" w:cs="Arial"/>
            <w:color w:val="000000"/>
          </w:rPr>
          <w:t>Revue</w:t>
        </w:r>
      </w:smartTag>
      <w:r>
        <w:rPr>
          <w:rStyle w:val="Accentuation"/>
          <w:rFonts w:ascii="Arial" w:hAnsi="Arial" w:cs="Arial"/>
          <w:color w:val="000000"/>
        </w:rPr>
        <w:t xml:space="preserve"> belge de droit constitutionnel</w:t>
      </w:r>
      <w:r>
        <w:rPr>
          <w:rFonts w:ascii="Arial" w:hAnsi="Arial" w:cs="Arial"/>
          <w:color w:val="000000"/>
        </w:rPr>
        <w:t>, il est l’auteur de nombreux ouvrages et articles touchant au droit constitutionnel, au droit européen, au fédéralisme et à la citoyenneté, dont </w:t>
      </w:r>
      <w:r>
        <w:rPr>
          <w:rStyle w:val="Accentuation"/>
          <w:rFonts w:ascii="Arial" w:hAnsi="Arial" w:cs="Arial"/>
          <w:color w:val="000000"/>
        </w:rPr>
        <w:t xml:space="preserve">Le droit constitutionnel de </w:t>
      </w:r>
      <w:smartTag w:uri="urn:schemas-microsoft-com:office:smarttags" w:element="PersonName">
        <w:smartTagPr>
          <w:attr w:name="ProductID" w:val="la Belgique"/>
        </w:smartTagPr>
        <w:r>
          <w:rPr>
            <w:rStyle w:val="Accentuation"/>
            <w:rFonts w:ascii="Arial" w:hAnsi="Arial" w:cs="Arial"/>
            <w:color w:val="000000"/>
          </w:rPr>
          <w:t>la Belgique</w:t>
        </w:r>
      </w:smartTag>
      <w:r>
        <w:rPr>
          <w:rFonts w:ascii="Arial" w:hAnsi="Arial" w:cs="Arial"/>
          <w:color w:val="000000"/>
        </w:rPr>
        <w:t xml:space="preserve"> (2000), </w:t>
      </w:r>
      <w:r>
        <w:rPr>
          <w:rStyle w:val="Accentuation"/>
          <w:rFonts w:ascii="Arial" w:hAnsi="Arial" w:cs="Arial"/>
          <w:color w:val="000000"/>
        </w:rPr>
        <w:t>Le fédéralisme en Europe</w:t>
      </w:r>
      <w:r>
        <w:rPr>
          <w:rFonts w:ascii="Arial" w:hAnsi="Arial" w:cs="Arial"/>
          <w:color w:val="000000"/>
        </w:rPr>
        <w:t xml:space="preserve"> (2000) et </w:t>
      </w:r>
      <w:smartTag w:uri="urn:schemas-microsoft-com:office:smarttags" w:element="PersonName">
        <w:smartTagPr>
          <w:attr w:name="ProductID" w:val="La Constitution"/>
        </w:smartTagPr>
        <w:r>
          <w:rPr>
            <w:rStyle w:val="Accentuation"/>
            <w:rFonts w:ascii="Arial" w:hAnsi="Arial" w:cs="Arial"/>
            <w:color w:val="000000"/>
          </w:rPr>
          <w:t>La Constitution</w:t>
        </w:r>
      </w:smartTag>
      <w:r>
        <w:rPr>
          <w:rStyle w:val="Accentuation"/>
          <w:rFonts w:ascii="Arial" w:hAnsi="Arial" w:cs="Arial"/>
          <w:color w:val="000000"/>
        </w:rPr>
        <w:t> : de 1830 à nos jours, et même au-delà</w:t>
      </w:r>
      <w:r>
        <w:rPr>
          <w:rFonts w:ascii="Arial" w:hAnsi="Arial" w:cs="Arial"/>
          <w:color w:val="000000"/>
        </w:rPr>
        <w:t xml:space="preserve"> (2006).</w:t>
      </w:r>
    </w:p>
    <w:p w:rsidR="00384EF3" w:rsidRDefault="00384EF3" w:rsidP="002B2256">
      <w:pPr>
        <w:pBdr>
          <w:top w:val="single" w:sz="4" w:space="1" w:color="auto"/>
          <w:left w:val="single" w:sz="4" w:space="4" w:color="auto"/>
          <w:bottom w:val="single" w:sz="4" w:space="1" w:color="auto"/>
          <w:right w:val="single" w:sz="4" w:space="4" w:color="auto"/>
        </w:pBdr>
        <w:shd w:val="clear" w:color="auto" w:fill="FFFFFF"/>
        <w:spacing w:before="210" w:after="210"/>
        <w:jc w:val="both"/>
        <w:rPr>
          <w:rFonts w:ascii="Verdana" w:hAnsi="Verdana" w:cs="Lucida Sans Unicode"/>
          <w:color w:val="000000"/>
          <w:sz w:val="17"/>
          <w:szCs w:val="17"/>
        </w:rPr>
      </w:pPr>
      <w:r>
        <w:rPr>
          <w:rFonts w:ascii="Arial" w:hAnsi="Arial" w:cs="Arial"/>
          <w:color w:val="000000"/>
        </w:rPr>
        <w:lastRenderedPageBreak/>
        <w:t>Parallèlement à sa carrière académique, il est également assesseur à la section de législation du Conseil d'État entre 1985 et 2004.</w:t>
      </w:r>
    </w:p>
    <w:p w:rsidR="00384EF3" w:rsidRDefault="00384EF3" w:rsidP="002B2256">
      <w:pPr>
        <w:pBdr>
          <w:top w:val="single" w:sz="4" w:space="1" w:color="auto"/>
          <w:left w:val="single" w:sz="4" w:space="4" w:color="auto"/>
          <w:bottom w:val="single" w:sz="4" w:space="1" w:color="auto"/>
          <w:right w:val="single" w:sz="4" w:space="4" w:color="auto"/>
        </w:pBdr>
        <w:shd w:val="clear" w:color="auto" w:fill="FFFFFF"/>
        <w:spacing w:before="210" w:after="210"/>
        <w:jc w:val="both"/>
        <w:rPr>
          <w:rFonts w:ascii="Verdana" w:hAnsi="Verdana" w:cs="Lucida Sans Unicode"/>
          <w:color w:val="000000"/>
          <w:sz w:val="17"/>
          <w:szCs w:val="17"/>
        </w:rPr>
      </w:pPr>
      <w:r>
        <w:rPr>
          <w:rFonts w:ascii="Arial" w:hAnsi="Arial" w:cs="Arial"/>
          <w:color w:val="000000"/>
        </w:rPr>
        <w:t>Il entre au Sénat en 2004 et préside le groupe CDH depuis 2007.</w:t>
      </w:r>
    </w:p>
    <w:p w:rsidR="00384EF3" w:rsidRDefault="00384EF3" w:rsidP="002B2256">
      <w:pPr>
        <w:pBdr>
          <w:top w:val="single" w:sz="4" w:space="1" w:color="auto"/>
          <w:left w:val="single" w:sz="4" w:space="4" w:color="auto"/>
          <w:bottom w:val="single" w:sz="4" w:space="1" w:color="auto"/>
          <w:right w:val="single" w:sz="4" w:space="4" w:color="auto"/>
        </w:pBdr>
        <w:shd w:val="clear" w:color="auto" w:fill="FFFFFF"/>
        <w:spacing w:before="210" w:after="210"/>
        <w:jc w:val="both"/>
        <w:rPr>
          <w:rFonts w:ascii="Verdana" w:hAnsi="Verdana" w:cs="Lucida Sans Unicode"/>
          <w:color w:val="000000"/>
          <w:sz w:val="17"/>
          <w:szCs w:val="17"/>
        </w:rPr>
      </w:pPr>
      <w:r>
        <w:rPr>
          <w:rFonts w:ascii="Arial" w:hAnsi="Arial" w:cs="Arial"/>
          <w:color w:val="000000"/>
        </w:rPr>
        <w:t xml:space="preserve">Il est premier vice-président de la Commission des Affaires institutionnelles et membre de </w:t>
      </w:r>
      <w:smartTag w:uri="urn:schemas-microsoft-com:office:smarttags" w:element="PersonName">
        <w:smartTagPr>
          <w:attr w:name="ProductID" w:val="La Commission"/>
        </w:smartTagPr>
        <w:r>
          <w:rPr>
            <w:rFonts w:ascii="Arial" w:hAnsi="Arial" w:cs="Arial"/>
            <w:color w:val="000000"/>
          </w:rPr>
          <w:t>la Commission</w:t>
        </w:r>
      </w:smartTag>
      <w:r>
        <w:rPr>
          <w:rFonts w:ascii="Arial" w:hAnsi="Arial" w:cs="Arial"/>
          <w:color w:val="000000"/>
        </w:rPr>
        <w:t xml:space="preserve"> de </w:t>
      </w:r>
      <w:smartTag w:uri="urn:schemas-microsoft-com:office:smarttags" w:element="PersonName">
        <w:smartTagPr>
          <w:attr w:name="ProductID" w:val="la Justice. Il"/>
        </w:smartTagPr>
        <w:r>
          <w:rPr>
            <w:rFonts w:ascii="Arial" w:hAnsi="Arial" w:cs="Arial"/>
            <w:color w:val="000000"/>
          </w:rPr>
          <w:t>la Justice. Il</w:t>
        </w:r>
      </w:smartTag>
      <w:r>
        <w:rPr>
          <w:rFonts w:ascii="Arial" w:hAnsi="Arial" w:cs="Arial"/>
          <w:color w:val="000000"/>
        </w:rPr>
        <w:t xml:space="preserve"> préside </w:t>
      </w:r>
      <w:smartTag w:uri="urn:schemas-microsoft-com:office:smarttags" w:element="PersonName">
        <w:smartTagPr>
          <w:attr w:name="ProductID" w:val="La Commission"/>
        </w:smartTagPr>
        <w:r>
          <w:rPr>
            <w:rFonts w:ascii="Arial" w:hAnsi="Arial" w:cs="Arial"/>
            <w:color w:val="000000"/>
          </w:rPr>
          <w:t>la Commission</w:t>
        </w:r>
      </w:smartTag>
      <w:r>
        <w:rPr>
          <w:rFonts w:ascii="Arial" w:hAnsi="Arial" w:cs="Arial"/>
          <w:color w:val="000000"/>
        </w:rPr>
        <w:t xml:space="preserve"> mixte du suivi des missions militaires belges à l'étranger.</w:t>
      </w:r>
    </w:p>
    <w:p w:rsidR="00384EF3" w:rsidRDefault="00384EF3" w:rsidP="002B2256">
      <w:pPr>
        <w:pBdr>
          <w:top w:val="single" w:sz="4" w:space="1" w:color="auto"/>
          <w:left w:val="single" w:sz="4" w:space="4" w:color="auto"/>
          <w:bottom w:val="single" w:sz="4" w:space="1" w:color="auto"/>
          <w:right w:val="single" w:sz="4" w:space="4" w:color="auto"/>
        </w:pBdr>
        <w:shd w:val="clear" w:color="auto" w:fill="FFFFFF"/>
        <w:spacing w:before="210" w:after="210"/>
        <w:jc w:val="both"/>
        <w:rPr>
          <w:rFonts w:ascii="Verdana" w:hAnsi="Verdana" w:cs="Lucida Sans Unicode"/>
          <w:color w:val="000000"/>
          <w:sz w:val="17"/>
          <w:szCs w:val="17"/>
        </w:rPr>
      </w:pPr>
      <w:r>
        <w:rPr>
          <w:rFonts w:ascii="Arial" w:hAnsi="Arial" w:cs="Arial"/>
          <w:color w:val="000000"/>
        </w:rPr>
        <w:t xml:space="preserve">Membre de l’Institut de France et de l’Académie Royale de Belgique, il a été promu docteur </w:t>
      </w:r>
      <w:r>
        <w:rPr>
          <w:rStyle w:val="Accentuation"/>
          <w:rFonts w:ascii="Arial" w:hAnsi="Arial" w:cs="Arial"/>
          <w:color w:val="000000"/>
        </w:rPr>
        <w:t>honoris causa</w:t>
      </w:r>
      <w:r>
        <w:rPr>
          <w:rFonts w:ascii="Arial" w:hAnsi="Arial" w:cs="Arial"/>
          <w:color w:val="000000"/>
        </w:rPr>
        <w:t xml:space="preserve"> des universités d'Aix-Marseille III (1987), Genève (1993), Ottawa (1993), Szeged (2002), Athènes (2003) et Sud Toulon-Var (2008).</w:t>
      </w:r>
    </w:p>
    <w:p w:rsidR="00384EF3" w:rsidRDefault="00384EF3" w:rsidP="002B2256">
      <w:pPr>
        <w:pBdr>
          <w:top w:val="single" w:sz="4" w:space="1" w:color="auto"/>
          <w:left w:val="single" w:sz="4" w:space="4" w:color="auto"/>
          <w:bottom w:val="single" w:sz="4" w:space="1" w:color="auto"/>
          <w:right w:val="single" w:sz="4" w:space="4" w:color="auto"/>
        </w:pBdr>
        <w:shd w:val="clear" w:color="auto" w:fill="FFFFFF"/>
        <w:spacing w:before="210" w:after="210"/>
        <w:jc w:val="both"/>
        <w:rPr>
          <w:rFonts w:ascii="Arial" w:hAnsi="Arial" w:cs="Arial"/>
          <w:color w:val="000000"/>
        </w:rPr>
      </w:pPr>
      <w:r>
        <w:rPr>
          <w:rFonts w:ascii="Arial" w:hAnsi="Arial" w:cs="Arial"/>
          <w:color w:val="000000"/>
        </w:rPr>
        <w:t>Il a également reçu de nombreuses distinctions honorifiques et s’est vu octroyer le titre personnel de baron par le Roi Baudouin en 1993.</w:t>
      </w:r>
    </w:p>
    <w:p w:rsidR="00384EF3" w:rsidRPr="002B2256" w:rsidRDefault="002B2256" w:rsidP="002B2256">
      <w:pPr>
        <w:pBdr>
          <w:top w:val="single" w:sz="4" w:space="1" w:color="auto"/>
          <w:left w:val="single" w:sz="4" w:space="4" w:color="auto"/>
          <w:bottom w:val="single" w:sz="4" w:space="1" w:color="auto"/>
          <w:right w:val="single" w:sz="4" w:space="4" w:color="auto"/>
        </w:pBdr>
        <w:jc w:val="right"/>
        <w:rPr>
          <w:sz w:val="36"/>
          <w:szCs w:val="36"/>
        </w:rPr>
      </w:pPr>
      <w:r w:rsidRPr="002B2256">
        <w:rPr>
          <w:sz w:val="36"/>
          <w:szCs w:val="36"/>
        </w:rPr>
        <w:t>JPS</w:t>
      </w:r>
    </w:p>
    <w:sectPr w:rsidR="00384EF3" w:rsidRPr="002B2256" w:rsidSect="00EA0B2F">
      <w:pgSz w:w="11906" w:h="16838" w:code="9"/>
      <w:pgMar w:top="975" w:right="1418" w:bottom="81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71"/>
    <w:rsid w:val="00015D20"/>
    <w:rsid w:val="00034CD2"/>
    <w:rsid w:val="00042945"/>
    <w:rsid w:val="00043453"/>
    <w:rsid w:val="0006373F"/>
    <w:rsid w:val="0006519C"/>
    <w:rsid w:val="00071326"/>
    <w:rsid w:val="00073B97"/>
    <w:rsid w:val="000827DF"/>
    <w:rsid w:val="000C2F65"/>
    <w:rsid w:val="000C5E24"/>
    <w:rsid w:val="000D0AA3"/>
    <w:rsid w:val="000D2960"/>
    <w:rsid w:val="000D5CAC"/>
    <w:rsid w:val="000F4870"/>
    <w:rsid w:val="00112B57"/>
    <w:rsid w:val="0013239C"/>
    <w:rsid w:val="001374B8"/>
    <w:rsid w:val="001733BB"/>
    <w:rsid w:val="001818E8"/>
    <w:rsid w:val="001A0BB8"/>
    <w:rsid w:val="001A24D4"/>
    <w:rsid w:val="001B2C92"/>
    <w:rsid w:val="001C63E7"/>
    <w:rsid w:val="001D243C"/>
    <w:rsid w:val="001E60C5"/>
    <w:rsid w:val="00206CC8"/>
    <w:rsid w:val="00207E9C"/>
    <w:rsid w:val="00214B39"/>
    <w:rsid w:val="0022583E"/>
    <w:rsid w:val="00236065"/>
    <w:rsid w:val="00240E09"/>
    <w:rsid w:val="0025365E"/>
    <w:rsid w:val="0025618E"/>
    <w:rsid w:val="002603A4"/>
    <w:rsid w:val="00276866"/>
    <w:rsid w:val="0028153B"/>
    <w:rsid w:val="002912E3"/>
    <w:rsid w:val="00297B4E"/>
    <w:rsid w:val="002B1AEB"/>
    <w:rsid w:val="002B2256"/>
    <w:rsid w:val="002C3BBB"/>
    <w:rsid w:val="002C57BE"/>
    <w:rsid w:val="002D1B3C"/>
    <w:rsid w:val="002D7F78"/>
    <w:rsid w:val="002F0178"/>
    <w:rsid w:val="003005F3"/>
    <w:rsid w:val="00304A9B"/>
    <w:rsid w:val="00305AD0"/>
    <w:rsid w:val="00322DAA"/>
    <w:rsid w:val="00351CCD"/>
    <w:rsid w:val="00384EF3"/>
    <w:rsid w:val="003B03BB"/>
    <w:rsid w:val="003B494C"/>
    <w:rsid w:val="003C71DB"/>
    <w:rsid w:val="003E0598"/>
    <w:rsid w:val="003E2052"/>
    <w:rsid w:val="003F104D"/>
    <w:rsid w:val="00405CE5"/>
    <w:rsid w:val="0040797B"/>
    <w:rsid w:val="004135EC"/>
    <w:rsid w:val="0042206F"/>
    <w:rsid w:val="00435059"/>
    <w:rsid w:val="00451293"/>
    <w:rsid w:val="00451B58"/>
    <w:rsid w:val="00482E53"/>
    <w:rsid w:val="00497B42"/>
    <w:rsid w:val="004B4C8F"/>
    <w:rsid w:val="004B589A"/>
    <w:rsid w:val="004C2E39"/>
    <w:rsid w:val="004C4FC5"/>
    <w:rsid w:val="004C57FC"/>
    <w:rsid w:val="004D1FB5"/>
    <w:rsid w:val="004D399E"/>
    <w:rsid w:val="004D5ED4"/>
    <w:rsid w:val="004F1DD5"/>
    <w:rsid w:val="00504259"/>
    <w:rsid w:val="0051275A"/>
    <w:rsid w:val="00516B57"/>
    <w:rsid w:val="005227FE"/>
    <w:rsid w:val="0052294A"/>
    <w:rsid w:val="00544CE3"/>
    <w:rsid w:val="005518EC"/>
    <w:rsid w:val="0055259D"/>
    <w:rsid w:val="005670FD"/>
    <w:rsid w:val="00582CA5"/>
    <w:rsid w:val="00593E00"/>
    <w:rsid w:val="0059608F"/>
    <w:rsid w:val="005B659F"/>
    <w:rsid w:val="005C7E39"/>
    <w:rsid w:val="005D0606"/>
    <w:rsid w:val="005D1B2A"/>
    <w:rsid w:val="005D7483"/>
    <w:rsid w:val="005E2D48"/>
    <w:rsid w:val="005E5F92"/>
    <w:rsid w:val="00603DB3"/>
    <w:rsid w:val="00605160"/>
    <w:rsid w:val="006163FC"/>
    <w:rsid w:val="00620D7D"/>
    <w:rsid w:val="00625FC0"/>
    <w:rsid w:val="00642BE0"/>
    <w:rsid w:val="006458A6"/>
    <w:rsid w:val="00651212"/>
    <w:rsid w:val="0065453F"/>
    <w:rsid w:val="006601C3"/>
    <w:rsid w:val="0067599A"/>
    <w:rsid w:val="006768BC"/>
    <w:rsid w:val="0069063F"/>
    <w:rsid w:val="00693A85"/>
    <w:rsid w:val="006A5B05"/>
    <w:rsid w:val="006A5BA7"/>
    <w:rsid w:val="006A5BFB"/>
    <w:rsid w:val="006A65FB"/>
    <w:rsid w:val="006B0F44"/>
    <w:rsid w:val="006C2ED1"/>
    <w:rsid w:val="006C3847"/>
    <w:rsid w:val="006D497E"/>
    <w:rsid w:val="006E1EFF"/>
    <w:rsid w:val="006E3CDC"/>
    <w:rsid w:val="006E4FE0"/>
    <w:rsid w:val="006F43A2"/>
    <w:rsid w:val="00711815"/>
    <w:rsid w:val="00712BDA"/>
    <w:rsid w:val="00713BF7"/>
    <w:rsid w:val="00726E78"/>
    <w:rsid w:val="00732133"/>
    <w:rsid w:val="00740F21"/>
    <w:rsid w:val="00745E3C"/>
    <w:rsid w:val="00746EE4"/>
    <w:rsid w:val="00747E21"/>
    <w:rsid w:val="0078581C"/>
    <w:rsid w:val="00785AAB"/>
    <w:rsid w:val="00796CAD"/>
    <w:rsid w:val="007A7B16"/>
    <w:rsid w:val="007B3A87"/>
    <w:rsid w:val="007B49BA"/>
    <w:rsid w:val="007C6F71"/>
    <w:rsid w:val="007F3E22"/>
    <w:rsid w:val="007F6DFA"/>
    <w:rsid w:val="0082460A"/>
    <w:rsid w:val="00827181"/>
    <w:rsid w:val="00827E91"/>
    <w:rsid w:val="00834614"/>
    <w:rsid w:val="00847E02"/>
    <w:rsid w:val="008612F7"/>
    <w:rsid w:val="00861EDF"/>
    <w:rsid w:val="008671BB"/>
    <w:rsid w:val="008718E8"/>
    <w:rsid w:val="00886D7E"/>
    <w:rsid w:val="008A316D"/>
    <w:rsid w:val="008A695C"/>
    <w:rsid w:val="008B6ED7"/>
    <w:rsid w:val="008D3731"/>
    <w:rsid w:val="00903FC5"/>
    <w:rsid w:val="0090460A"/>
    <w:rsid w:val="009119CA"/>
    <w:rsid w:val="0091636C"/>
    <w:rsid w:val="0092262E"/>
    <w:rsid w:val="00930093"/>
    <w:rsid w:val="009357BC"/>
    <w:rsid w:val="00944801"/>
    <w:rsid w:val="00944B35"/>
    <w:rsid w:val="00946B4D"/>
    <w:rsid w:val="00947AEF"/>
    <w:rsid w:val="00953038"/>
    <w:rsid w:val="009566BD"/>
    <w:rsid w:val="00957F9D"/>
    <w:rsid w:val="00963DC2"/>
    <w:rsid w:val="00963FC8"/>
    <w:rsid w:val="00984E0E"/>
    <w:rsid w:val="00994FAD"/>
    <w:rsid w:val="009961D1"/>
    <w:rsid w:val="00997BB0"/>
    <w:rsid w:val="009A0C0B"/>
    <w:rsid w:val="009A1712"/>
    <w:rsid w:val="009A4F49"/>
    <w:rsid w:val="009B7465"/>
    <w:rsid w:val="009C2EF8"/>
    <w:rsid w:val="009C4945"/>
    <w:rsid w:val="009C7D82"/>
    <w:rsid w:val="009D5B79"/>
    <w:rsid w:val="009E1E83"/>
    <w:rsid w:val="009E7A15"/>
    <w:rsid w:val="00A00508"/>
    <w:rsid w:val="00A04D0D"/>
    <w:rsid w:val="00A21403"/>
    <w:rsid w:val="00A24A44"/>
    <w:rsid w:val="00A365C3"/>
    <w:rsid w:val="00A474F7"/>
    <w:rsid w:val="00A51D2D"/>
    <w:rsid w:val="00A535B2"/>
    <w:rsid w:val="00A65ED8"/>
    <w:rsid w:val="00A66439"/>
    <w:rsid w:val="00A665EE"/>
    <w:rsid w:val="00A67A41"/>
    <w:rsid w:val="00A952C0"/>
    <w:rsid w:val="00AB3C84"/>
    <w:rsid w:val="00AD04A0"/>
    <w:rsid w:val="00AD6D9D"/>
    <w:rsid w:val="00AD743B"/>
    <w:rsid w:val="00AE4EC3"/>
    <w:rsid w:val="00AE52A8"/>
    <w:rsid w:val="00AF7550"/>
    <w:rsid w:val="00AF7BB7"/>
    <w:rsid w:val="00B1303D"/>
    <w:rsid w:val="00B14890"/>
    <w:rsid w:val="00B214EC"/>
    <w:rsid w:val="00B30DA7"/>
    <w:rsid w:val="00B335A1"/>
    <w:rsid w:val="00B54472"/>
    <w:rsid w:val="00B62897"/>
    <w:rsid w:val="00B6433F"/>
    <w:rsid w:val="00B818A5"/>
    <w:rsid w:val="00B86333"/>
    <w:rsid w:val="00B96276"/>
    <w:rsid w:val="00BA588E"/>
    <w:rsid w:val="00BC4E36"/>
    <w:rsid w:val="00BC5912"/>
    <w:rsid w:val="00BC5FEB"/>
    <w:rsid w:val="00BF731A"/>
    <w:rsid w:val="00C04C7B"/>
    <w:rsid w:val="00C17F95"/>
    <w:rsid w:val="00C22B5D"/>
    <w:rsid w:val="00C257CC"/>
    <w:rsid w:val="00C34CA1"/>
    <w:rsid w:val="00C379C1"/>
    <w:rsid w:val="00C804A6"/>
    <w:rsid w:val="00C94EB7"/>
    <w:rsid w:val="00CC2851"/>
    <w:rsid w:val="00CF2C68"/>
    <w:rsid w:val="00CF4DA1"/>
    <w:rsid w:val="00D101EF"/>
    <w:rsid w:val="00D1371D"/>
    <w:rsid w:val="00D20AC0"/>
    <w:rsid w:val="00D2215E"/>
    <w:rsid w:val="00D44FC7"/>
    <w:rsid w:val="00D500FE"/>
    <w:rsid w:val="00D72877"/>
    <w:rsid w:val="00D72D78"/>
    <w:rsid w:val="00D757B8"/>
    <w:rsid w:val="00D75C7D"/>
    <w:rsid w:val="00D865C0"/>
    <w:rsid w:val="00D968FB"/>
    <w:rsid w:val="00DA52BF"/>
    <w:rsid w:val="00DB19F6"/>
    <w:rsid w:val="00DB7257"/>
    <w:rsid w:val="00DC1DF0"/>
    <w:rsid w:val="00DD2301"/>
    <w:rsid w:val="00DD261C"/>
    <w:rsid w:val="00DD35A6"/>
    <w:rsid w:val="00DF2EEC"/>
    <w:rsid w:val="00E52EB1"/>
    <w:rsid w:val="00E554DF"/>
    <w:rsid w:val="00E56BEE"/>
    <w:rsid w:val="00E60AA2"/>
    <w:rsid w:val="00E65951"/>
    <w:rsid w:val="00E93AAD"/>
    <w:rsid w:val="00EA0B2F"/>
    <w:rsid w:val="00EA16A4"/>
    <w:rsid w:val="00EA1BF9"/>
    <w:rsid w:val="00EA27B5"/>
    <w:rsid w:val="00EA3A6B"/>
    <w:rsid w:val="00EA5056"/>
    <w:rsid w:val="00EC59BD"/>
    <w:rsid w:val="00ED3B0A"/>
    <w:rsid w:val="00EE0F9A"/>
    <w:rsid w:val="00EE1DBC"/>
    <w:rsid w:val="00EE7ABA"/>
    <w:rsid w:val="00EF1FF4"/>
    <w:rsid w:val="00EF3E1C"/>
    <w:rsid w:val="00EF5525"/>
    <w:rsid w:val="00F03C68"/>
    <w:rsid w:val="00F05367"/>
    <w:rsid w:val="00F46A8F"/>
    <w:rsid w:val="00F5376F"/>
    <w:rsid w:val="00F7063D"/>
    <w:rsid w:val="00F73288"/>
    <w:rsid w:val="00F8221A"/>
    <w:rsid w:val="00F90D7E"/>
    <w:rsid w:val="00FA034C"/>
    <w:rsid w:val="00FB3D7F"/>
    <w:rsid w:val="00FB61C6"/>
    <w:rsid w:val="00FD28A7"/>
    <w:rsid w:val="00FE081A"/>
    <w:rsid w:val="00FE1BEC"/>
    <w:rsid w:val="00FE5514"/>
    <w:rsid w:val="00FF28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15D7559-ECCE-4849-A97B-F259695C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sid w:val="00384EF3"/>
    <w:rPr>
      <w:i/>
      <w:iCs/>
    </w:rPr>
  </w:style>
  <w:style w:type="character" w:styleId="lev">
    <w:name w:val="Strong"/>
    <w:qFormat/>
    <w:rsid w:val="00384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849</Words>
  <Characters>4671</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 Finetti</dc:creator>
  <cp:keywords/>
  <dc:description/>
  <cp:lastModifiedBy>Elio Finetti</cp:lastModifiedBy>
  <cp:revision>14</cp:revision>
  <dcterms:created xsi:type="dcterms:W3CDTF">2014-02-14T14:59:00Z</dcterms:created>
  <dcterms:modified xsi:type="dcterms:W3CDTF">2014-02-24T11:28:00Z</dcterms:modified>
</cp:coreProperties>
</file>