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E3" w:rsidRDefault="00A02695" w:rsidP="007C6F71">
      <w:pPr>
        <w:jc w:val="center"/>
        <w:rPr>
          <w:b/>
          <w:sz w:val="18"/>
          <w:szCs w:val="18"/>
        </w:rPr>
      </w:pPr>
      <w:r w:rsidRPr="00CB2C1C">
        <w:rPr>
          <w:b/>
          <w:sz w:val="18"/>
          <w:szCs w:val="18"/>
        </w:rPr>
        <w:t>Documents de référence</w:t>
      </w:r>
    </w:p>
    <w:p w:rsidR="00CB2C1C" w:rsidRDefault="00CB2C1C" w:rsidP="007C6F71">
      <w:pPr>
        <w:jc w:val="center"/>
        <w:rPr>
          <w:b/>
          <w:sz w:val="18"/>
          <w:szCs w:val="18"/>
        </w:rPr>
      </w:pPr>
    </w:p>
    <w:p w:rsidR="0050210E" w:rsidRDefault="0050210E" w:rsidP="0050210E">
      <w:bookmarkStart w:id="0" w:name="_GoBack"/>
      <w:bookmarkEnd w:id="0"/>
    </w:p>
    <w:tbl>
      <w:tblPr>
        <w:tblW w:w="495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592"/>
      </w:tblGrid>
      <w:tr w:rsidR="0050210E" w:rsidRPr="00B30AB8" w:rsidTr="009E1B2C">
        <w:trPr>
          <w:trHeight w:val="769"/>
        </w:trPr>
        <w:tc>
          <w:tcPr>
            <w:tcW w:w="2440" w:type="pct"/>
            <w:shd w:val="clear" w:color="auto" w:fill="auto"/>
          </w:tcPr>
          <w:p w:rsidR="0050210E" w:rsidRPr="00B30AB8" w:rsidRDefault="0050210E" w:rsidP="009E1B2C">
            <w:pPr>
              <w:jc w:val="center"/>
              <w:rPr>
                <w:b/>
                <w:bCs/>
                <w:i/>
                <w:iCs/>
                <w:sz w:val="15"/>
                <w:szCs w:val="15"/>
              </w:rPr>
            </w:pPr>
            <w:r w:rsidRPr="00B30AB8">
              <w:rPr>
                <w:b/>
                <w:bCs/>
                <w:i/>
                <w:iCs/>
                <w:noProof/>
                <w:sz w:val="15"/>
                <w:szCs w:val="15"/>
                <w:lang w:eastAsia="fr-BE"/>
              </w:rPr>
              <w:drawing>
                <wp:inline distT="0" distB="0" distL="0" distR="0" wp14:anchorId="17E8157C" wp14:editId="3D8CE268">
                  <wp:extent cx="1181100" cy="600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600075"/>
                          </a:xfrm>
                          <a:prstGeom prst="rect">
                            <a:avLst/>
                          </a:prstGeom>
                          <a:noFill/>
                          <a:ln>
                            <a:noFill/>
                          </a:ln>
                        </pic:spPr>
                      </pic:pic>
                    </a:graphicData>
                  </a:graphic>
                </wp:inline>
              </w:drawing>
            </w:r>
          </w:p>
          <w:p w:rsidR="0050210E" w:rsidRPr="00B30AB8" w:rsidRDefault="0050210E" w:rsidP="009E1B2C">
            <w:pPr>
              <w:jc w:val="center"/>
              <w:rPr>
                <w:rFonts w:ascii="Arial" w:hAnsi="Arial" w:cs="Arial"/>
                <w:b/>
                <w:bCs/>
                <w:iCs/>
                <w:color w:val="333399"/>
                <w:sz w:val="12"/>
                <w:szCs w:val="12"/>
              </w:rPr>
            </w:pPr>
            <w:smartTag w:uri="urn:schemas-microsoft-com:office:smarttags" w:element="PersonName">
              <w:smartTagPr>
                <w:attr w:name="ProductID" w:val="Cercle universitaire"/>
              </w:smartTagPr>
              <w:r w:rsidRPr="00B30AB8">
                <w:rPr>
                  <w:rFonts w:ascii="Arial" w:hAnsi="Arial" w:cs="Arial"/>
                  <w:b/>
                  <w:bCs/>
                  <w:iCs/>
                  <w:color w:val="333399"/>
                  <w:sz w:val="12"/>
                  <w:szCs w:val="12"/>
                </w:rPr>
                <w:t>Cercle universitaire</w:t>
              </w:r>
            </w:smartTag>
          </w:p>
          <w:p w:rsidR="0050210E" w:rsidRPr="00B30AB8" w:rsidRDefault="0050210E" w:rsidP="009E1B2C">
            <w:pPr>
              <w:jc w:val="center"/>
              <w:rPr>
                <w:sz w:val="19"/>
                <w:szCs w:val="19"/>
              </w:rPr>
            </w:pPr>
            <w:r w:rsidRPr="00B30AB8">
              <w:rPr>
                <w:rFonts w:ascii="Arial" w:hAnsi="Arial" w:cs="Arial"/>
                <w:b/>
                <w:bCs/>
                <w:iCs/>
                <w:color w:val="333399"/>
                <w:sz w:val="12"/>
                <w:szCs w:val="12"/>
              </w:rPr>
              <w:t>L’Union des étudiants catholiques de Liège, a.s.b.l.</w:t>
            </w:r>
          </w:p>
        </w:tc>
        <w:tc>
          <w:tcPr>
            <w:tcW w:w="2560" w:type="pct"/>
            <w:shd w:val="clear" w:color="auto" w:fill="auto"/>
          </w:tcPr>
          <w:p w:rsidR="0050210E" w:rsidRPr="00B30AB8" w:rsidRDefault="0050210E" w:rsidP="009E1B2C">
            <w:pPr>
              <w:rPr>
                <w:b/>
                <w:bCs/>
                <w:smallCaps/>
                <w:sz w:val="12"/>
                <w:szCs w:val="12"/>
              </w:rPr>
            </w:pPr>
          </w:p>
          <w:p w:rsidR="0050210E" w:rsidRPr="00B30AB8" w:rsidRDefault="0050210E" w:rsidP="009E1B2C">
            <w:pPr>
              <w:jc w:val="center"/>
              <w:rPr>
                <w:b/>
                <w:bCs/>
                <w:smallCaps/>
                <w:sz w:val="19"/>
                <w:szCs w:val="19"/>
              </w:rPr>
            </w:pPr>
            <w:r w:rsidRPr="00B30AB8">
              <w:rPr>
                <w:b/>
                <w:bCs/>
                <w:smallCaps/>
                <w:noProof/>
                <w:sz w:val="19"/>
                <w:szCs w:val="19"/>
                <w:lang w:eastAsia="fr-BE"/>
              </w:rPr>
              <w:drawing>
                <wp:inline distT="0" distB="0" distL="0" distR="0" wp14:anchorId="60D677A3" wp14:editId="1EB88979">
                  <wp:extent cx="1714500" cy="552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p w:rsidR="0050210E" w:rsidRPr="00B30AB8" w:rsidRDefault="0050210E" w:rsidP="009E1B2C">
            <w:pPr>
              <w:jc w:val="center"/>
              <w:rPr>
                <w:b/>
                <w:bCs/>
                <w:smallCaps/>
                <w:sz w:val="12"/>
                <w:szCs w:val="12"/>
              </w:rPr>
            </w:pPr>
          </w:p>
          <w:p w:rsidR="0050210E" w:rsidRPr="00B30AB8" w:rsidRDefault="0050210E" w:rsidP="009E1B2C">
            <w:pPr>
              <w:jc w:val="center"/>
              <w:rPr>
                <w:sz w:val="12"/>
                <w:szCs w:val="12"/>
              </w:rPr>
            </w:pPr>
            <w:r w:rsidRPr="00B30AB8">
              <w:rPr>
                <w:rFonts w:ascii="Arial Rounded MT Bold" w:hAnsi="Arial Rounded MT Bold"/>
                <w:b/>
                <w:bCs/>
                <w:i/>
                <w:iCs/>
                <w:smallCaps/>
                <w:color w:val="000080"/>
                <w:spacing w:val="20"/>
                <w:sz w:val="12"/>
                <w:szCs w:val="12"/>
              </w:rPr>
              <w:t>Groupe de réflexion</w:t>
            </w:r>
            <w:r w:rsidRPr="00B30AB8">
              <w:rPr>
                <w:rFonts w:ascii="Arial Rounded MT Bold" w:hAnsi="Arial Rounded MT Bold"/>
                <w:b/>
                <w:bCs/>
                <w:i/>
                <w:iCs/>
                <w:sz w:val="12"/>
                <w:szCs w:val="12"/>
              </w:rPr>
              <w:t xml:space="preserve"> </w:t>
            </w:r>
            <w:r w:rsidRPr="00B30AB8">
              <w:rPr>
                <w:rFonts w:ascii="Arial Rounded MT Bold" w:hAnsi="Arial Rounded MT Bold"/>
                <w:b/>
                <w:bCs/>
                <w:i/>
                <w:iCs/>
                <w:smallCaps/>
                <w:color w:val="000080"/>
                <w:spacing w:val="20"/>
                <w:sz w:val="12"/>
                <w:szCs w:val="12"/>
              </w:rPr>
              <w:t>sur l’éthique sociale</w:t>
            </w:r>
          </w:p>
        </w:tc>
      </w:tr>
    </w:tbl>
    <w:p w:rsidR="0050210E" w:rsidRPr="00B30AB8" w:rsidRDefault="0050210E" w:rsidP="0050210E">
      <w:pPr>
        <w:rPr>
          <w:vanish/>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070"/>
      </w:tblGrid>
      <w:tr w:rsidR="0050210E" w:rsidRPr="00B30AB8" w:rsidTr="009E1B2C">
        <w:tc>
          <w:tcPr>
            <w:tcW w:w="10683" w:type="dxa"/>
            <w:tcBorders>
              <w:top w:val="nil"/>
              <w:left w:val="nil"/>
              <w:bottom w:val="nil"/>
              <w:right w:val="nil"/>
            </w:tcBorders>
            <w:shd w:val="clear" w:color="auto" w:fill="auto"/>
          </w:tcPr>
          <w:p w:rsidR="0050210E" w:rsidRPr="00B30AB8" w:rsidRDefault="0050210E" w:rsidP="009E1B2C">
            <w:pPr>
              <w:jc w:val="center"/>
              <w:rPr>
                <w:b/>
                <w:i/>
                <w:iCs/>
                <w:caps/>
                <w:szCs w:val="52"/>
                <w:u w:val="single"/>
              </w:rPr>
            </w:pPr>
            <w:r w:rsidRPr="00B30AB8">
              <w:rPr>
                <w:b/>
                <w:i/>
                <w:iCs/>
                <w:color w:val="333399"/>
                <w:sz w:val="20"/>
                <w:szCs w:val="20"/>
              </w:rPr>
              <w:t>Ce cycle est organisé avec le concours du forum de conférences « Calpurnia</w:t>
            </w:r>
            <w:r w:rsidRPr="00B30AB8">
              <w:rPr>
                <w:b/>
                <w:i/>
                <w:iCs/>
                <w:color w:val="333399"/>
              </w:rPr>
              <w:t> »</w:t>
            </w:r>
          </w:p>
        </w:tc>
      </w:tr>
    </w:tbl>
    <w:p w:rsidR="0050210E" w:rsidRDefault="0050210E" w:rsidP="0050210E">
      <w:pPr>
        <w:pBdr>
          <w:top w:val="single" w:sz="4" w:space="1" w:color="auto"/>
          <w:left w:val="single" w:sz="4" w:space="4" w:color="auto"/>
          <w:bottom w:val="single" w:sz="4" w:space="1" w:color="auto"/>
          <w:right w:val="single" w:sz="4" w:space="4" w:color="auto"/>
        </w:pBdr>
        <w:spacing w:before="480"/>
        <w:jc w:val="center"/>
      </w:pPr>
      <w:r w:rsidRPr="007701C4">
        <w:rPr>
          <w:b/>
          <w:iCs/>
          <w:caps/>
          <w:sz w:val="28"/>
          <w:szCs w:val="52"/>
          <w:u w:val="single"/>
        </w:rPr>
        <w:t>Neutralité ou Pluralisme</w:t>
      </w:r>
      <w:r>
        <w:rPr>
          <w:b/>
          <w:iCs/>
          <w:caps/>
          <w:sz w:val="28"/>
          <w:szCs w:val="52"/>
          <w:u w:val="single"/>
        </w:rPr>
        <w:br/>
      </w:r>
      <w:r w:rsidRPr="007701C4">
        <w:t>Dialogue entre Religions et Philosophies non confessionnelles</w:t>
      </w:r>
    </w:p>
    <w:p w:rsidR="0050210E" w:rsidRDefault="0050210E" w:rsidP="0050210E">
      <w:pPr>
        <w:pBdr>
          <w:top w:val="single" w:sz="4" w:space="1" w:color="auto"/>
          <w:left w:val="single" w:sz="4" w:space="4" w:color="auto"/>
          <w:bottom w:val="single" w:sz="4" w:space="1" w:color="auto"/>
          <w:right w:val="single" w:sz="4" w:space="4" w:color="auto"/>
        </w:pBdr>
      </w:pPr>
    </w:p>
    <w:p w:rsidR="0050210E" w:rsidRPr="007701C4" w:rsidRDefault="0050210E" w:rsidP="0050210E">
      <w:pPr>
        <w:pBdr>
          <w:top w:val="single" w:sz="4" w:space="1" w:color="auto"/>
          <w:left w:val="single" w:sz="4" w:space="4" w:color="auto"/>
          <w:bottom w:val="single" w:sz="4" w:space="1" w:color="auto"/>
          <w:right w:val="single" w:sz="4" w:space="4" w:color="auto"/>
        </w:pBdr>
        <w:jc w:val="center"/>
        <w:rPr>
          <w:i/>
          <w:szCs w:val="12"/>
        </w:rPr>
      </w:pPr>
    </w:p>
    <w:p w:rsidR="0050210E" w:rsidRDefault="0050210E" w:rsidP="0050210E">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rFonts w:ascii="Arial" w:hAnsi="Arial" w:cs="Arial"/>
          <w:b/>
          <w:bCs/>
          <w:sz w:val="18"/>
          <w:szCs w:val="18"/>
        </w:rPr>
      </w:pPr>
      <w:r>
        <w:rPr>
          <w:rFonts w:ascii="Arial" w:hAnsi="Arial" w:cs="Arial"/>
          <w:b/>
          <w:bCs/>
          <w:sz w:val="18"/>
          <w:szCs w:val="18"/>
        </w:rPr>
        <w:t>Mardi, 27 Mars</w:t>
      </w:r>
    </w:p>
    <w:p w:rsidR="0050210E" w:rsidRDefault="0050210E" w:rsidP="0050210E">
      <w:pPr>
        <w:pBdr>
          <w:top w:val="single" w:sz="4" w:space="1" w:color="auto"/>
          <w:left w:val="single" w:sz="4" w:space="4" w:color="auto"/>
          <w:bottom w:val="single" w:sz="4" w:space="1" w:color="auto"/>
          <w:right w:val="single" w:sz="4" w:space="4" w:color="auto"/>
        </w:pBdr>
        <w:tabs>
          <w:tab w:val="left" w:pos="707"/>
          <w:tab w:val="left" w:pos="1124"/>
          <w:tab w:val="left" w:pos="2221"/>
        </w:tabs>
        <w:rPr>
          <w:rFonts w:ascii="Arial" w:hAnsi="Arial" w:cs="Arial"/>
          <w:b/>
          <w:bCs/>
          <w:sz w:val="18"/>
          <w:szCs w:val="18"/>
        </w:rPr>
      </w:pPr>
    </w:p>
    <w:p w:rsidR="0050210E" w:rsidRDefault="0050210E" w:rsidP="0050210E">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52"/>
        </w:rPr>
      </w:pPr>
      <w:r>
        <w:rPr>
          <w:b/>
          <w:sz w:val="52"/>
        </w:rPr>
        <w:t>Politique et religion dans la pensée grecque</w:t>
      </w:r>
    </w:p>
    <w:p w:rsidR="0050210E" w:rsidRDefault="0050210E" w:rsidP="0050210E">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sz w:val="28"/>
          <w:szCs w:val="28"/>
        </w:rPr>
      </w:pPr>
      <w:proofErr w:type="gramStart"/>
      <w:r>
        <w:rPr>
          <w:b/>
          <w:sz w:val="28"/>
          <w:szCs w:val="28"/>
        </w:rPr>
        <w:t>par</w:t>
      </w:r>
      <w:proofErr w:type="gramEnd"/>
    </w:p>
    <w:p w:rsidR="0050210E" w:rsidRPr="00446318" w:rsidRDefault="0050210E" w:rsidP="0050210E">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36"/>
          <w:szCs w:val="36"/>
        </w:rPr>
      </w:pPr>
      <w:r>
        <w:rPr>
          <w:b/>
          <w:sz w:val="36"/>
          <w:szCs w:val="36"/>
        </w:rPr>
        <w:t>André MOTTE</w:t>
      </w:r>
    </w:p>
    <w:p w:rsidR="0050210E" w:rsidRDefault="0050210E" w:rsidP="0050210E">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bCs/>
          <w:lang w:val="fr-FR"/>
        </w:rPr>
      </w:pPr>
      <w:r>
        <w:rPr>
          <w:b/>
          <w:bCs/>
          <w:i/>
          <w:lang w:val="fr-FR"/>
        </w:rPr>
        <w:t xml:space="preserve">Professeur hon. A l’Université de Liège, directeur de </w:t>
      </w:r>
      <w:r w:rsidRPr="00506DC6">
        <w:rPr>
          <w:b/>
          <w:bCs/>
          <w:caps/>
          <w:lang w:val="fr-FR"/>
        </w:rPr>
        <w:t>Kernos</w:t>
      </w:r>
      <w:r>
        <w:rPr>
          <w:b/>
          <w:bCs/>
          <w:i/>
          <w:lang w:val="fr-FR"/>
        </w:rPr>
        <w:t>, revue internationale et pluridisciplinaire de religion grecque antique</w:t>
      </w:r>
      <w:r w:rsidRPr="00446318">
        <w:rPr>
          <w:b/>
          <w:bCs/>
          <w:i/>
          <w:lang w:val="fr-FR"/>
        </w:rPr>
        <w:t>»</w:t>
      </w:r>
    </w:p>
    <w:p w:rsidR="0050210E" w:rsidRDefault="0050210E" w:rsidP="0050210E">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bCs/>
          <w:lang w:val="fr-FR"/>
        </w:rPr>
      </w:pPr>
    </w:p>
    <w:p w:rsidR="0050210E" w:rsidRPr="0050210E" w:rsidRDefault="0050210E" w:rsidP="007C6F71">
      <w:pPr>
        <w:jc w:val="center"/>
        <w:rPr>
          <w:b/>
          <w:sz w:val="18"/>
          <w:szCs w:val="18"/>
          <w:lang w:val="fr-FR"/>
        </w:rPr>
      </w:pPr>
    </w:p>
    <w:p w:rsidR="00CB2C1C" w:rsidRDefault="00CB2C1C" w:rsidP="00E57290">
      <w:pPr>
        <w:spacing w:before="600" w:after="240"/>
        <w:rPr>
          <w:b/>
          <w:sz w:val="22"/>
          <w:szCs w:val="22"/>
        </w:rPr>
      </w:pPr>
      <w:r w:rsidRPr="00CB2C1C">
        <w:rPr>
          <w:b/>
          <w:sz w:val="22"/>
          <w:szCs w:val="22"/>
        </w:rPr>
        <w:t xml:space="preserve">Note </w:t>
      </w:r>
      <w:r w:rsidR="00FB2D60">
        <w:rPr>
          <w:b/>
          <w:sz w:val="22"/>
          <w:szCs w:val="22"/>
        </w:rPr>
        <w:t xml:space="preserve">sur les activités </w:t>
      </w:r>
      <w:r w:rsidR="00807AD6">
        <w:rPr>
          <w:b/>
          <w:sz w:val="22"/>
          <w:szCs w:val="22"/>
        </w:rPr>
        <w:t xml:space="preserve">du </w:t>
      </w:r>
      <w:r w:rsidR="00807AD6" w:rsidRPr="00CB2C1C">
        <w:rPr>
          <w:b/>
          <w:sz w:val="22"/>
          <w:szCs w:val="22"/>
        </w:rPr>
        <w:t>Pr</w:t>
      </w:r>
      <w:r w:rsidRPr="00CB2C1C">
        <w:rPr>
          <w:b/>
          <w:sz w:val="22"/>
          <w:szCs w:val="22"/>
        </w:rPr>
        <w:t xml:space="preserve"> André MOTTE</w:t>
      </w:r>
    </w:p>
    <w:p w:rsidR="00FB2D60" w:rsidRPr="00FE0E9A" w:rsidRDefault="00FB2D60" w:rsidP="00FB2D60">
      <w:pPr>
        <w:numPr>
          <w:ilvl w:val="0"/>
          <w:numId w:val="1"/>
        </w:numPr>
        <w:spacing w:before="120" w:after="120"/>
        <w:ind w:left="714" w:hanging="357"/>
        <w:rPr>
          <w:rFonts w:ascii="Arial" w:hAnsi="Arial" w:cs="Arial"/>
        </w:rPr>
      </w:pPr>
      <w:r w:rsidRPr="00FE0E9A">
        <w:rPr>
          <w:rFonts w:ascii="Arial" w:hAnsi="Arial" w:cs="Arial"/>
        </w:rPr>
        <w:t xml:space="preserve">Parcours scientifique : Licencié en philologie classique, agrégé de l'enseignement secondaire supérieur, docteur en philosophie et lettres (philosophie). Carrière scientifique et académique à l'Université de Liège, de 1960 (assistant) à 2001. </w:t>
      </w:r>
    </w:p>
    <w:p w:rsidR="00FB2D60" w:rsidRPr="00FE0E9A" w:rsidRDefault="00FB2D60" w:rsidP="00FB2D60">
      <w:pPr>
        <w:numPr>
          <w:ilvl w:val="0"/>
          <w:numId w:val="1"/>
        </w:numPr>
        <w:spacing w:before="120" w:after="120"/>
        <w:ind w:left="714" w:hanging="357"/>
        <w:rPr>
          <w:rFonts w:ascii="Arial" w:hAnsi="Arial" w:cs="Arial"/>
        </w:rPr>
      </w:pPr>
      <w:r w:rsidRPr="00FE0E9A">
        <w:rPr>
          <w:rFonts w:ascii="Arial" w:hAnsi="Arial" w:cs="Arial"/>
        </w:rPr>
        <w:t>Domaines de compétences : Philosophie et pensée religieuse des Grecs, philosophie morale.</w:t>
      </w:r>
    </w:p>
    <w:p w:rsidR="00FB2D60" w:rsidRPr="00FE0E9A" w:rsidRDefault="00FB2D60" w:rsidP="00FB2D60">
      <w:pPr>
        <w:numPr>
          <w:ilvl w:val="0"/>
          <w:numId w:val="1"/>
        </w:numPr>
        <w:spacing w:before="120" w:after="120"/>
        <w:ind w:left="714" w:hanging="357"/>
        <w:rPr>
          <w:rFonts w:ascii="Arial" w:hAnsi="Arial" w:cs="Arial"/>
        </w:rPr>
      </w:pPr>
      <w:r w:rsidRPr="00FE0E9A">
        <w:rPr>
          <w:rFonts w:ascii="Arial" w:hAnsi="Arial" w:cs="Arial"/>
        </w:rPr>
        <w:t xml:space="preserve">Unités de recherche : Centre d'études aristotéliciennes de l'Université de Liège (président), Groupe interuniversitaire de contact (FNRS) pour l'étude de la religion grecque (président), Centre International d'Étude de </w:t>
      </w:r>
      <w:smartTag w:uri="urn:schemas-microsoft-com:office:smarttags" w:element="PersonName">
        <w:smartTagPr>
          <w:attr w:name="ProductID" w:val="la Religion Grecque Antique"/>
        </w:smartTagPr>
        <w:r w:rsidRPr="00FE0E9A">
          <w:rPr>
            <w:rFonts w:ascii="Arial" w:hAnsi="Arial" w:cs="Arial"/>
          </w:rPr>
          <w:t>la Religion Grecque Antique</w:t>
        </w:r>
      </w:smartTag>
      <w:r w:rsidRPr="00FE0E9A">
        <w:rPr>
          <w:rFonts w:ascii="Arial" w:hAnsi="Arial" w:cs="Arial"/>
        </w:rPr>
        <w:t xml:space="preserve"> (vice-président). </w:t>
      </w:r>
    </w:p>
    <w:p w:rsidR="00FB2D60" w:rsidRPr="00FE0E9A" w:rsidRDefault="00FB2D60" w:rsidP="00FB2D60">
      <w:pPr>
        <w:pStyle w:val="Paragraphedeliste"/>
        <w:numPr>
          <w:ilvl w:val="0"/>
          <w:numId w:val="1"/>
        </w:numPr>
        <w:spacing w:before="120" w:after="120"/>
        <w:ind w:left="714" w:hanging="357"/>
        <w:rPr>
          <w:rFonts w:ascii="Arial" w:hAnsi="Arial" w:cs="Arial"/>
        </w:rPr>
      </w:pPr>
      <w:r w:rsidRPr="00FE0E9A">
        <w:rPr>
          <w:rFonts w:ascii="Arial" w:hAnsi="Arial" w:cs="Arial"/>
        </w:rPr>
        <w:t xml:space="preserve">Projets de recherche : Ouvrage d'ensemble sur l'éthique de Démocrite (Éd. Ousia) ; traduction de la Rhétorique d'Aristote, avec introduction et notes (Bibliothèque de la Pléiade) ; préparation de MENTOR III (1991-1997) ; publication des Actes du colloque "Philosophie de la forme. Eidos, idea et morphè dans la philosophie grecque, des origines à Aristote" (Liège, mars 2001).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lastRenderedPageBreak/>
        <w:t>Publications principales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Prairies et jardins de la Grèce antique. De la religion à la philosophie, Bruxelles, Académie Royale de Belgique, 1973, XIV-517 p. (épuisé).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Collaboration au Dictionnaire des religions, Paris, PUF, 1984, 3e éd., 1993 (25 contributions personnelles relatives à la religion et à la philosophie religieuse des Grecs).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L'expression du sacré dans la religion grecque, dans J. RIES (éd.), L'expression du sacré dans les grandes </w:t>
      </w:r>
      <w:r w:rsidR="00807AD6" w:rsidRPr="00FE0E9A">
        <w:rPr>
          <w:rFonts w:ascii="Arial" w:hAnsi="Arial" w:cs="Arial"/>
        </w:rPr>
        <w:t>religions,</w:t>
      </w:r>
      <w:r w:rsidRPr="00FE0E9A">
        <w:rPr>
          <w:rFonts w:ascii="Arial" w:hAnsi="Arial" w:cs="Arial"/>
        </w:rPr>
        <w:t xml:space="preserve"> Louvain-la-Neuve, Centre d'histoire des religions, vol. III, 1986, p. 109-256.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Pèlerinages de la Grèce antique, dans J. CHELINI et H. BRANTHOMME (éds.), Histoire des pèlerinages non chrétiens, Paris, Hachette, p. 94-135 et 499-500.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lang w:val="it-IT"/>
        </w:rPr>
        <w:t xml:space="preserve">- Il sacro nella natura e nell’uomo: la percezione del divino nella Grecia antica, dans J. Ries (éd.), Trattato di antropologia del sacro, Milano, Jaca Book, vol. </w:t>
      </w:r>
      <w:r w:rsidRPr="00FE0E9A">
        <w:rPr>
          <w:rFonts w:ascii="Arial" w:hAnsi="Arial" w:cs="Arial"/>
        </w:rPr>
        <w:t xml:space="preserve">III, p. 213-215 et 233-257.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Aspects du prophétisme grec, dans Prophéties et oracles en Égypte et en Grèce, Paris, Éd. du Cerf (Cahiers Évangile, suppl. au n° 88), 1994, p. 41-78 et 106-110.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A. MOTTE et Chr. RUTTEN (éds), Aristotelica. Mélanges offerts à Marcel De Corte, Bruxelles, Ousia, 1985, 383 p. - F. JOUAN et A. MOTTE (éds), Mythe et politique. Actes du colloque de Liège (sept. 1989), Paris, Belles Lettres, 1990, 325 p.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A. MOTTE et J. DENOOZ (éds), Aristotelica secunda. Mélanges offerts à Chr. Rutten, </w:t>
      </w:r>
      <w:smartTag w:uri="urn:schemas-microsoft-com:office:smarttags" w:element="PersonName">
        <w:smartTagPr>
          <w:attr w:name="ProductID" w:val="Universit￩ de Li￨ge"/>
        </w:smartTagPr>
        <w:r w:rsidRPr="00FE0E9A">
          <w:rPr>
            <w:rFonts w:ascii="Arial" w:hAnsi="Arial" w:cs="Arial"/>
          </w:rPr>
          <w:t>Université de Liège</w:t>
        </w:r>
      </w:smartTag>
      <w:r w:rsidRPr="00FE0E9A">
        <w:rPr>
          <w:rFonts w:ascii="Arial" w:hAnsi="Arial" w:cs="Arial"/>
        </w:rPr>
        <w:t xml:space="preserve">, Centre d'études aristotéliciennes, 1996, 382 p.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A. MOTTE, V. PIRENNE-DELFORGE, P. WATHELET (éds), MENTOR. Guide bibliographique de la religion grecque antique, Liège, Centre d'histoire des religions, 1992, 781 p. ; MENTOR II (1986-1990), 1998, 531 p.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C. BONNET et A. MOTTE (éds), Les syncrétismes religieux dans le monde méditerranéen antique. Actes du colloque de Rome en l'honneur de F. Cumont (sept. 1997), Bruxelles-Rome, Institut historique belge, 1999, 402 p.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A. MOTTE et Chr. RUTTEN (éds), Aporia dans la philosophie grecque, des origines à Aristote, Louvain-la-Neuve, Peeters, 2001, 458 p.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Direction de Kernos. Revue internationale et pluridisciplinaire de religion grecque antique, 1988 sv. (14 vol. parus) et de la collection annexée (11 vol. parus).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Direction de Hieros. Bulletin de la Société belgo-luxembourgeoise d'histoire des religions (1997-2001, 5 num. parus). </w:t>
      </w:r>
    </w:p>
    <w:p w:rsidR="00FB2D60" w:rsidRPr="00FE0E9A" w:rsidRDefault="00FB2D60" w:rsidP="00FB2D60">
      <w:pPr>
        <w:rPr>
          <w:rFonts w:ascii="Arial" w:hAnsi="Arial" w:cs="Arial"/>
        </w:rPr>
      </w:pPr>
    </w:p>
    <w:p w:rsidR="00FB2D60" w:rsidRPr="00FE0E9A" w:rsidRDefault="00FB2D60" w:rsidP="00FB2D60">
      <w:pPr>
        <w:rPr>
          <w:rFonts w:ascii="Arial" w:hAnsi="Arial" w:cs="Arial"/>
        </w:rPr>
      </w:pPr>
      <w:r w:rsidRPr="00FE0E9A">
        <w:rPr>
          <w:rFonts w:ascii="Arial" w:hAnsi="Arial" w:cs="Arial"/>
        </w:rPr>
        <w:t xml:space="preserve">- Une cinquantaine d'articles relatifs à la religion et à la philosophie grecques (notamment Platon, Démocrite, Aristote, Protagoras, Cicéron, Proclus et, chez les modernes, Montaigne, B. Russell, M. De Corte, F. Cumont, M. Éliade, Marie Delcourt, G. Dumézil). Plus de 250 comptes rendus et notices critiques. </w:t>
      </w:r>
    </w:p>
    <w:p w:rsidR="00FB2D60" w:rsidRPr="00FE0E9A" w:rsidRDefault="00807AD6" w:rsidP="00807AD6">
      <w:pPr>
        <w:spacing w:before="240"/>
        <w:jc w:val="center"/>
        <w:rPr>
          <w:rFonts w:ascii="Arial" w:hAnsi="Arial" w:cs="Arial"/>
          <w:b/>
          <w:sz w:val="36"/>
          <w:szCs w:val="36"/>
        </w:rPr>
      </w:pPr>
      <w:proofErr w:type="gramStart"/>
      <w:r>
        <w:rPr>
          <w:rFonts w:ascii="Arial" w:hAnsi="Arial" w:cs="Arial"/>
          <w:b/>
          <w:sz w:val="36"/>
          <w:szCs w:val="36"/>
        </w:rPr>
        <w:t>oOo</w:t>
      </w:r>
      <w:proofErr w:type="gramEnd"/>
    </w:p>
    <w:sectPr w:rsidR="00FB2D60" w:rsidRPr="00FE0E9A" w:rsidSect="00EA0B2F">
      <w:pgSz w:w="11906" w:h="16838" w:code="9"/>
      <w:pgMar w:top="975"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67A6"/>
    <w:multiLevelType w:val="hybridMultilevel"/>
    <w:tmpl w:val="319E02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D3074AD"/>
    <w:multiLevelType w:val="hybridMultilevel"/>
    <w:tmpl w:val="E44836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71"/>
    <w:rsid w:val="00015D20"/>
    <w:rsid w:val="00034CD2"/>
    <w:rsid w:val="00042945"/>
    <w:rsid w:val="00043453"/>
    <w:rsid w:val="0006373F"/>
    <w:rsid w:val="0006519C"/>
    <w:rsid w:val="00071326"/>
    <w:rsid w:val="00073B97"/>
    <w:rsid w:val="000C2F65"/>
    <w:rsid w:val="000C5E24"/>
    <w:rsid w:val="000D0AA3"/>
    <w:rsid w:val="000D5CAC"/>
    <w:rsid w:val="000F4870"/>
    <w:rsid w:val="00112B57"/>
    <w:rsid w:val="0013239C"/>
    <w:rsid w:val="001374B8"/>
    <w:rsid w:val="001733BB"/>
    <w:rsid w:val="001818E8"/>
    <w:rsid w:val="001A0BB8"/>
    <w:rsid w:val="001A24D4"/>
    <w:rsid w:val="001B2C92"/>
    <w:rsid w:val="001D243C"/>
    <w:rsid w:val="001E60C5"/>
    <w:rsid w:val="00206CC8"/>
    <w:rsid w:val="00207E9C"/>
    <w:rsid w:val="00214B39"/>
    <w:rsid w:val="0022583E"/>
    <w:rsid w:val="00236065"/>
    <w:rsid w:val="0025365E"/>
    <w:rsid w:val="0025618E"/>
    <w:rsid w:val="002603A4"/>
    <w:rsid w:val="00276866"/>
    <w:rsid w:val="0028153B"/>
    <w:rsid w:val="002912E3"/>
    <w:rsid w:val="00297B4E"/>
    <w:rsid w:val="002B1AEB"/>
    <w:rsid w:val="002C3272"/>
    <w:rsid w:val="002C3BBB"/>
    <w:rsid w:val="002C57BE"/>
    <w:rsid w:val="002D1B3C"/>
    <w:rsid w:val="002D7F78"/>
    <w:rsid w:val="002F0178"/>
    <w:rsid w:val="003005F3"/>
    <w:rsid w:val="00304A9B"/>
    <w:rsid w:val="00305AD0"/>
    <w:rsid w:val="00322DAA"/>
    <w:rsid w:val="00351CCD"/>
    <w:rsid w:val="003B03BB"/>
    <w:rsid w:val="003B494C"/>
    <w:rsid w:val="003C71DB"/>
    <w:rsid w:val="003E0598"/>
    <w:rsid w:val="003E2052"/>
    <w:rsid w:val="003F104D"/>
    <w:rsid w:val="00405CE5"/>
    <w:rsid w:val="0040797B"/>
    <w:rsid w:val="004135EC"/>
    <w:rsid w:val="0042206F"/>
    <w:rsid w:val="00435059"/>
    <w:rsid w:val="00451293"/>
    <w:rsid w:val="00451B58"/>
    <w:rsid w:val="00482E53"/>
    <w:rsid w:val="00497B42"/>
    <w:rsid w:val="004B4C8F"/>
    <w:rsid w:val="004B589A"/>
    <w:rsid w:val="004C2E39"/>
    <w:rsid w:val="004C4FC5"/>
    <w:rsid w:val="004C57FC"/>
    <w:rsid w:val="004D1FB5"/>
    <w:rsid w:val="004D399E"/>
    <w:rsid w:val="004D5ED4"/>
    <w:rsid w:val="004F1DD5"/>
    <w:rsid w:val="0050210E"/>
    <w:rsid w:val="00504259"/>
    <w:rsid w:val="0051275A"/>
    <w:rsid w:val="00516B57"/>
    <w:rsid w:val="005227FE"/>
    <w:rsid w:val="0052294A"/>
    <w:rsid w:val="00544CE3"/>
    <w:rsid w:val="005518EC"/>
    <w:rsid w:val="0055259D"/>
    <w:rsid w:val="005670FD"/>
    <w:rsid w:val="00582CA5"/>
    <w:rsid w:val="00593E00"/>
    <w:rsid w:val="0059608F"/>
    <w:rsid w:val="005B659F"/>
    <w:rsid w:val="005C7E39"/>
    <w:rsid w:val="005D0606"/>
    <w:rsid w:val="005D1B2A"/>
    <w:rsid w:val="005D7483"/>
    <w:rsid w:val="005E2D48"/>
    <w:rsid w:val="005E5F92"/>
    <w:rsid w:val="00603DB3"/>
    <w:rsid w:val="00605160"/>
    <w:rsid w:val="006163FC"/>
    <w:rsid w:val="00620D7D"/>
    <w:rsid w:val="00625FC0"/>
    <w:rsid w:val="00642BE0"/>
    <w:rsid w:val="006458A6"/>
    <w:rsid w:val="00651212"/>
    <w:rsid w:val="0065453F"/>
    <w:rsid w:val="0067599A"/>
    <w:rsid w:val="006768BC"/>
    <w:rsid w:val="0069063F"/>
    <w:rsid w:val="00693A85"/>
    <w:rsid w:val="006A5B05"/>
    <w:rsid w:val="006A5BA7"/>
    <w:rsid w:val="006A5BFB"/>
    <w:rsid w:val="006A65FB"/>
    <w:rsid w:val="006B0F44"/>
    <w:rsid w:val="006C2ED1"/>
    <w:rsid w:val="006C3847"/>
    <w:rsid w:val="006D497E"/>
    <w:rsid w:val="006E1EFF"/>
    <w:rsid w:val="006E3CDC"/>
    <w:rsid w:val="006E4FE0"/>
    <w:rsid w:val="006F43A2"/>
    <w:rsid w:val="00711815"/>
    <w:rsid w:val="00712BDA"/>
    <w:rsid w:val="00713BF7"/>
    <w:rsid w:val="00726E78"/>
    <w:rsid w:val="00732133"/>
    <w:rsid w:val="00740F21"/>
    <w:rsid w:val="00745E3C"/>
    <w:rsid w:val="00746EE4"/>
    <w:rsid w:val="00747E21"/>
    <w:rsid w:val="0078581C"/>
    <w:rsid w:val="00785AAB"/>
    <w:rsid w:val="00796CAD"/>
    <w:rsid w:val="007A7B16"/>
    <w:rsid w:val="007B3A87"/>
    <w:rsid w:val="007B49BA"/>
    <w:rsid w:val="007C6F71"/>
    <w:rsid w:val="007F3E22"/>
    <w:rsid w:val="007F6DFA"/>
    <w:rsid w:val="00807AD6"/>
    <w:rsid w:val="0082460A"/>
    <w:rsid w:val="00827181"/>
    <w:rsid w:val="00827E91"/>
    <w:rsid w:val="00834614"/>
    <w:rsid w:val="00847E02"/>
    <w:rsid w:val="008612F7"/>
    <w:rsid w:val="00861EDF"/>
    <w:rsid w:val="008671BB"/>
    <w:rsid w:val="008718E8"/>
    <w:rsid w:val="00886D7E"/>
    <w:rsid w:val="008A316D"/>
    <w:rsid w:val="008A695C"/>
    <w:rsid w:val="008B6ED7"/>
    <w:rsid w:val="008D3731"/>
    <w:rsid w:val="00903FC5"/>
    <w:rsid w:val="0090460A"/>
    <w:rsid w:val="009119CA"/>
    <w:rsid w:val="0091636C"/>
    <w:rsid w:val="0092262E"/>
    <w:rsid w:val="00930093"/>
    <w:rsid w:val="009357BC"/>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4F49"/>
    <w:rsid w:val="009B7465"/>
    <w:rsid w:val="009C2EF8"/>
    <w:rsid w:val="009C4945"/>
    <w:rsid w:val="009C7D82"/>
    <w:rsid w:val="009D5B79"/>
    <w:rsid w:val="009E1E83"/>
    <w:rsid w:val="009E7A15"/>
    <w:rsid w:val="00A00508"/>
    <w:rsid w:val="00A02695"/>
    <w:rsid w:val="00A04D0D"/>
    <w:rsid w:val="00A21403"/>
    <w:rsid w:val="00A365C3"/>
    <w:rsid w:val="00A474F7"/>
    <w:rsid w:val="00A51D2D"/>
    <w:rsid w:val="00A535B2"/>
    <w:rsid w:val="00A65ED8"/>
    <w:rsid w:val="00A66439"/>
    <w:rsid w:val="00A665EE"/>
    <w:rsid w:val="00A67A41"/>
    <w:rsid w:val="00A952C0"/>
    <w:rsid w:val="00AD04A0"/>
    <w:rsid w:val="00AD6D9D"/>
    <w:rsid w:val="00AD743B"/>
    <w:rsid w:val="00AE4EC3"/>
    <w:rsid w:val="00AE52A8"/>
    <w:rsid w:val="00AF7550"/>
    <w:rsid w:val="00AF7BB7"/>
    <w:rsid w:val="00B1303D"/>
    <w:rsid w:val="00B14890"/>
    <w:rsid w:val="00B214EC"/>
    <w:rsid w:val="00B30DA7"/>
    <w:rsid w:val="00B335A1"/>
    <w:rsid w:val="00B54472"/>
    <w:rsid w:val="00B62897"/>
    <w:rsid w:val="00B6433F"/>
    <w:rsid w:val="00B818A5"/>
    <w:rsid w:val="00B86333"/>
    <w:rsid w:val="00B96276"/>
    <w:rsid w:val="00BA588E"/>
    <w:rsid w:val="00BC5912"/>
    <w:rsid w:val="00BC5FEB"/>
    <w:rsid w:val="00BF731A"/>
    <w:rsid w:val="00C04C7B"/>
    <w:rsid w:val="00C17F95"/>
    <w:rsid w:val="00C22B5D"/>
    <w:rsid w:val="00C257CC"/>
    <w:rsid w:val="00C34CA1"/>
    <w:rsid w:val="00C379C1"/>
    <w:rsid w:val="00C804A6"/>
    <w:rsid w:val="00C94EB7"/>
    <w:rsid w:val="00CB2C1C"/>
    <w:rsid w:val="00CC2851"/>
    <w:rsid w:val="00CF2C68"/>
    <w:rsid w:val="00CF4DA1"/>
    <w:rsid w:val="00D101EF"/>
    <w:rsid w:val="00D1371D"/>
    <w:rsid w:val="00D20AC0"/>
    <w:rsid w:val="00D2215E"/>
    <w:rsid w:val="00D44FC7"/>
    <w:rsid w:val="00D500FE"/>
    <w:rsid w:val="00D72877"/>
    <w:rsid w:val="00D72D78"/>
    <w:rsid w:val="00D757B8"/>
    <w:rsid w:val="00D75C7D"/>
    <w:rsid w:val="00D865C0"/>
    <w:rsid w:val="00D968FB"/>
    <w:rsid w:val="00DA52BF"/>
    <w:rsid w:val="00DB19F6"/>
    <w:rsid w:val="00DB7257"/>
    <w:rsid w:val="00DC1DF0"/>
    <w:rsid w:val="00DD2301"/>
    <w:rsid w:val="00DD261C"/>
    <w:rsid w:val="00DD35A6"/>
    <w:rsid w:val="00DF2EEC"/>
    <w:rsid w:val="00E52EB1"/>
    <w:rsid w:val="00E554DF"/>
    <w:rsid w:val="00E56BEE"/>
    <w:rsid w:val="00E57290"/>
    <w:rsid w:val="00E65951"/>
    <w:rsid w:val="00E93AAD"/>
    <w:rsid w:val="00EA0B2F"/>
    <w:rsid w:val="00EA16A4"/>
    <w:rsid w:val="00EA1BF9"/>
    <w:rsid w:val="00EA27B5"/>
    <w:rsid w:val="00EA3A6B"/>
    <w:rsid w:val="00EA5056"/>
    <w:rsid w:val="00EC59BD"/>
    <w:rsid w:val="00ED3B0A"/>
    <w:rsid w:val="00EE0F9A"/>
    <w:rsid w:val="00EE1DBC"/>
    <w:rsid w:val="00EE7ABA"/>
    <w:rsid w:val="00EF1FF4"/>
    <w:rsid w:val="00EF3E1C"/>
    <w:rsid w:val="00EF5525"/>
    <w:rsid w:val="00F03C68"/>
    <w:rsid w:val="00F05367"/>
    <w:rsid w:val="00F46A8F"/>
    <w:rsid w:val="00F5376F"/>
    <w:rsid w:val="00F7063D"/>
    <w:rsid w:val="00F73288"/>
    <w:rsid w:val="00F8221A"/>
    <w:rsid w:val="00F90D7E"/>
    <w:rsid w:val="00FA034C"/>
    <w:rsid w:val="00FB2D60"/>
    <w:rsid w:val="00FB3D7F"/>
    <w:rsid w:val="00FB61C6"/>
    <w:rsid w:val="00FD28A7"/>
    <w:rsid w:val="00FE081A"/>
    <w:rsid w:val="00FE1BEC"/>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5D7559-ECCE-4849-A97B-F259695C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3540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8</cp:revision>
  <dcterms:created xsi:type="dcterms:W3CDTF">2014-02-14T15:01:00Z</dcterms:created>
  <dcterms:modified xsi:type="dcterms:W3CDTF">2014-02-24T14:49:00Z</dcterms:modified>
</cp:coreProperties>
</file>